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ＤＦ特太ゴシック体" w:hAnsi="ＤＦ特太ゴシック体" w:eastAsia="ＤＦ特太ゴシック体"/>
          <w:color w:val="000000" w:themeColor="text1"/>
          <w:sz w:val="48"/>
        </w:rPr>
      </w:pPr>
      <w:r>
        <w:rPr>
          <w:rFonts w:hint="eastAsia"/>
        </w:rPr>
        <mc:AlternateContent>
          <mc:Choice Requires="wps">
            <w:drawing>
              <wp:anchor distT="0" distB="0" distL="71755" distR="71755" simplePos="0" relativeHeight="25" behindDoc="0" locked="0" layoutInCell="1" hidden="0" allowOverlap="1">
                <wp:simplePos x="0" y="0"/>
                <wp:positionH relativeFrom="column">
                  <wp:posOffset>4089400</wp:posOffset>
                </wp:positionH>
                <wp:positionV relativeFrom="paragraph">
                  <wp:posOffset>-3175</wp:posOffset>
                </wp:positionV>
                <wp:extent cx="1098550" cy="5556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98550" cy="555625"/>
                        </a:xfrm>
                        <a:prstGeom prst="rect"/>
                        <a:solidFill>
                          <a:srgbClr val="FFFFFF"/>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b w:val="1"/>
                                <w:sz w:val="32"/>
                              </w:rPr>
                            </w:pPr>
                            <w:r>
                              <w:rPr>
                                <w:rFonts w:hint="eastAsia"/>
                                <w:b w:val="1"/>
                                <w:sz w:val="32"/>
                              </w:rPr>
                              <w:t>参　考</w:t>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26" style="mso-wrap-distance-right:5.65pt;mso-wrap-distance-bottom:0pt;margin-top:-0.25pt;mso-position-vertical-relative:text;mso-position-horizontal-relative:text;position:absolute;height:43.75pt;mso-wrap-distance-top:0pt;width:86.5pt;mso-wrap-distance-left:5.65pt;margin-left:322pt;z-index:25;" o:allowincell="t" o:allowoverlap="t" filled="t" fillcolor="#ffffff" stroked="t" strokecolor="#000000 [3213]"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b w:val="1"/>
                          <w:sz w:val="32"/>
                        </w:rPr>
                      </w:pPr>
                      <w:r>
                        <w:rPr>
                          <w:rFonts w:hint="eastAsia"/>
                          <w:b w:val="1"/>
                          <w:sz w:val="32"/>
                        </w:rPr>
                        <w:t>参　考</w:t>
                      </w:r>
                    </w:p>
                  </w:txbxContent>
                </v:textbox>
                <v:imagedata o:title=""/>
                <w10:wrap type="none" anchorx="text" anchory="text"/>
              </v:shape>
            </w:pict>
          </mc:Fallback>
        </mc:AlternateContent>
      </w:r>
    </w:p>
    <w:p>
      <w:pPr>
        <w:pStyle w:val="0"/>
        <w:jc w:val="left"/>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bookmarkStart w:id="0" w:name="_GoBack"/>
      <w:bookmarkEnd w:id="0"/>
    </w:p>
    <w:p>
      <w:pPr>
        <w:pStyle w:val="0"/>
        <w:jc w:val="center"/>
        <w:rPr>
          <w:rFonts w:hint="default" w:asciiTheme="majorEastAsia" w:hAnsiTheme="majorEastAsia" w:eastAsiaTheme="majorEastAsia"/>
          <w:color w:val="000000" w:themeColor="text1"/>
          <w:sz w:val="56"/>
        </w:rPr>
      </w:pPr>
      <w:r>
        <w:rPr>
          <w:rFonts w:hint="eastAsia" w:asciiTheme="majorEastAsia" w:hAnsiTheme="majorEastAsia" w:eastAsiaTheme="majorEastAsia"/>
          <w:color w:val="000000" w:themeColor="text1"/>
          <w:sz w:val="56"/>
        </w:rPr>
        <w:t>非農地判断マニュアル</w:t>
      </w:r>
    </w:p>
    <w:p>
      <w:pPr>
        <w:pStyle w:val="0"/>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p>
    <w:p>
      <w:pPr>
        <w:pStyle w:val="0"/>
        <w:rPr>
          <w:rFonts w:hint="default" w:asciiTheme="majorEastAsia" w:hAnsiTheme="majorEastAsia" w:eastAsiaTheme="majorEastAsia"/>
          <w:color w:val="000000" w:themeColor="text1"/>
          <w:sz w:val="56"/>
        </w:rPr>
      </w:pPr>
    </w:p>
    <w:p>
      <w:pPr>
        <w:pStyle w:val="0"/>
        <w:jc w:val="center"/>
        <w:rPr>
          <w:rFonts w:hint="default" w:ascii="ＤＦ特太ゴシック体" w:hAnsi="ＤＦ特太ゴシック体" w:eastAsia="ＤＦ特太ゴシック体"/>
          <w:color w:val="000000" w:themeColor="text1"/>
          <w:sz w:val="36"/>
        </w:rPr>
      </w:pPr>
      <w:r>
        <w:rPr>
          <w:rFonts w:hint="eastAsia" w:asciiTheme="majorEastAsia" w:hAnsiTheme="majorEastAsia" w:eastAsiaTheme="majorEastAsia"/>
          <w:color w:val="000000" w:themeColor="text1"/>
          <w:sz w:val="36"/>
        </w:rPr>
        <w:t>令和４年８月</w:t>
      </w:r>
    </w:p>
    <w:p>
      <w:pPr>
        <w:pStyle w:val="0"/>
        <w:jc w:val="center"/>
        <w:rPr>
          <w:rFonts w:hint="default" w:asciiTheme="majorEastAsia" w:hAnsiTheme="majorEastAsia" w:eastAsiaTheme="majorEastAsia"/>
          <w:color w:val="000000" w:themeColor="text1"/>
          <w:sz w:val="36"/>
        </w:rPr>
      </w:pPr>
      <w:r>
        <w:rPr>
          <w:rFonts w:hint="eastAsia" w:asciiTheme="majorEastAsia" w:hAnsiTheme="majorEastAsia" w:eastAsiaTheme="majorEastAsia"/>
          <w:color w:val="000000" w:themeColor="text1"/>
          <w:sz w:val="36"/>
        </w:rPr>
        <w:t>全国</w:t>
      </w:r>
      <w:r>
        <w:rPr>
          <w:rFonts w:hint="default" w:asciiTheme="majorEastAsia" w:hAnsiTheme="majorEastAsia" w:eastAsiaTheme="majorEastAsia"/>
          <w:color w:val="000000" w:themeColor="text1"/>
          <w:sz w:val="36"/>
        </w:rPr>
        <w:t>農業委員会</w:t>
      </w:r>
      <w:r>
        <w:rPr>
          <w:rFonts w:hint="eastAsia" w:asciiTheme="majorEastAsia" w:hAnsiTheme="majorEastAsia" w:eastAsiaTheme="majorEastAsia"/>
          <w:color w:val="000000" w:themeColor="text1"/>
          <w:sz w:val="36"/>
        </w:rPr>
        <w:t>ネットワーク</w:t>
      </w:r>
      <w:r>
        <w:rPr>
          <w:rFonts w:hint="default" w:asciiTheme="majorEastAsia" w:hAnsiTheme="majorEastAsia" w:eastAsiaTheme="majorEastAsia"/>
          <w:color w:val="000000" w:themeColor="text1"/>
          <w:sz w:val="36"/>
        </w:rPr>
        <w:t>機構</w:t>
      </w:r>
    </w:p>
    <w:p>
      <w:pPr>
        <w:pStyle w:val="0"/>
        <w:jc w:val="center"/>
        <w:rPr>
          <w:rFonts w:hint="default" w:asciiTheme="majorEastAsia" w:hAnsiTheme="majorEastAsia" w:eastAsiaTheme="majorEastAsia"/>
          <w:color w:val="000000" w:themeColor="text1"/>
          <w:sz w:val="36"/>
        </w:rPr>
      </w:pPr>
      <w:r>
        <w:rPr>
          <w:rFonts w:hint="eastAsia" w:asciiTheme="majorEastAsia" w:hAnsiTheme="majorEastAsia" w:eastAsiaTheme="majorEastAsia"/>
          <w:color w:val="000000" w:themeColor="text1"/>
          <w:spacing w:val="41"/>
          <w:kern w:val="0"/>
          <w:sz w:val="36"/>
          <w:fitText w:val="5400" w:id="1"/>
        </w:rPr>
        <w:t>一般社団</w:t>
      </w:r>
      <w:r>
        <w:rPr>
          <w:rFonts w:hint="default" w:asciiTheme="majorEastAsia" w:hAnsiTheme="majorEastAsia" w:eastAsiaTheme="majorEastAsia"/>
          <w:color w:val="000000" w:themeColor="text1"/>
          <w:spacing w:val="41"/>
          <w:kern w:val="0"/>
          <w:sz w:val="36"/>
          <w:fitText w:val="5400" w:id="1"/>
        </w:rPr>
        <w:t>法人</w:t>
      </w:r>
      <w:r>
        <w:rPr>
          <w:rFonts w:hint="default" w:asciiTheme="majorEastAsia" w:hAnsiTheme="majorEastAsia" w:eastAsiaTheme="majorEastAsia"/>
          <w:color w:val="000000" w:themeColor="text1"/>
          <w:spacing w:val="41"/>
          <w:kern w:val="0"/>
          <w:sz w:val="36"/>
          <w:fitText w:val="5400" w:id="1"/>
        </w:rPr>
        <w:t xml:space="preserve"> </w:t>
      </w:r>
      <w:r>
        <w:rPr>
          <w:rFonts w:hint="default" w:asciiTheme="majorEastAsia" w:hAnsiTheme="majorEastAsia" w:eastAsiaTheme="majorEastAsia"/>
          <w:color w:val="000000" w:themeColor="text1"/>
          <w:spacing w:val="41"/>
          <w:kern w:val="0"/>
          <w:sz w:val="36"/>
          <w:fitText w:val="5400" w:id="1"/>
        </w:rPr>
        <w:t>全国農業会議</w:t>
      </w:r>
      <w:r>
        <w:rPr>
          <w:rFonts w:hint="default" w:asciiTheme="majorEastAsia" w:hAnsiTheme="majorEastAsia" w:eastAsiaTheme="majorEastAsia"/>
          <w:color w:val="000000" w:themeColor="text1"/>
          <w:spacing w:val="7"/>
          <w:kern w:val="0"/>
          <w:sz w:val="36"/>
          <w:fitText w:val="5400" w:id="1"/>
        </w:rPr>
        <w:t>所</w:t>
      </w:r>
    </w:p>
    <w:p>
      <w:pPr>
        <w:pStyle w:val="0"/>
        <w:spacing w:line="442" w:lineRule="exact"/>
        <w:jc w:val="center"/>
        <w:rPr>
          <w:rFonts w:hint="default" w:ascii="ＭＳ 明朝" w:hAnsi="ＭＳ 明朝"/>
          <w:color w:val="000000" w:themeColor="text1"/>
          <w:spacing w:val="10"/>
          <w:u w:val="single" w:color="auto"/>
        </w:rPr>
      </w:pPr>
      <w:r>
        <w:rPr>
          <w:rFonts w:hint="default" w:asciiTheme="minorEastAsia" w:hAnsiTheme="minorEastAsia"/>
          <w:color w:val="000000" w:themeColor="text1"/>
          <w:sz w:val="22"/>
        </w:rPr>
        <w:br w:type="page"/>
      </w:r>
      <w:r>
        <w:rPr>
          <w:rFonts w:hint="eastAsia" w:ascii="ＭＳ 明朝" w:hAnsi="ＭＳ 明朝"/>
          <w:color w:val="000000" w:themeColor="text1"/>
          <w:spacing w:val="6"/>
          <w:sz w:val="36"/>
          <w:u w:val="single" w:color="auto"/>
        </w:rPr>
        <w:t>目　次</w:t>
      </w:r>
    </w:p>
    <w:p>
      <w:pPr>
        <w:pStyle w:val="0"/>
        <w:rPr>
          <w:rFonts w:hint="default"/>
          <w:color w:val="000000" w:themeColor="text1"/>
          <w:spacing w:val="10"/>
        </w:rPr>
      </w:pPr>
    </w:p>
    <w:p>
      <w:pPr>
        <w:pStyle w:val="0"/>
        <w:rPr>
          <w:rFonts w:hint="default"/>
          <w:color w:val="000000" w:themeColor="text1"/>
          <w:spacing w:val="10"/>
        </w:rPr>
      </w:pPr>
    </w:p>
    <w:p>
      <w:pPr>
        <w:pStyle w:val="0"/>
        <w:tabs>
          <w:tab w:val="left" w:leader="middleDot" w:pos="8419"/>
        </w:tabs>
        <w:spacing w:line="322" w:lineRule="exact"/>
        <w:jc w:val="distribute"/>
        <w:rPr>
          <w:rFonts w:hint="default" w:asciiTheme="majorEastAsia" w:hAnsiTheme="majorEastAsia" w:eastAsiaTheme="majorEastAsia"/>
          <w:color w:val="000000" w:themeColor="text1"/>
          <w:spacing w:val="10"/>
          <w:sz w:val="24"/>
        </w:rPr>
      </w:pPr>
      <w:r>
        <w:rPr>
          <w:rFonts w:hint="eastAsia" w:asciiTheme="majorEastAsia" w:hAnsiTheme="majorEastAsia" w:eastAsiaTheme="majorEastAsia"/>
          <w:color w:val="000000" w:themeColor="text1"/>
          <w:spacing w:val="2"/>
          <w:sz w:val="24"/>
        </w:rPr>
        <w:t>Ⅰ　　はじめに</w:t>
      </w:r>
      <w:r>
        <w:rPr>
          <w:rFonts w:hint="eastAsia" w:asciiTheme="majorEastAsia" w:hAnsiTheme="majorEastAsia" w:eastAsiaTheme="majorEastAsia"/>
          <w:color w:val="000000" w:themeColor="text1"/>
          <w:spacing w:val="2"/>
          <w:sz w:val="24"/>
        </w:rPr>
        <w:t xml:space="preserve"> </w:t>
      </w:r>
      <w:r>
        <w:rPr>
          <w:rFonts w:hint="eastAsia" w:asciiTheme="majorEastAsia" w:hAnsiTheme="majorEastAsia" w:eastAsiaTheme="majorEastAsia"/>
          <w:color w:val="000000" w:themeColor="text1"/>
          <w:spacing w:val="2"/>
          <w:sz w:val="24"/>
        </w:rPr>
        <w:t>･･････････････････････････････････････････････････　１</w:t>
      </w:r>
    </w:p>
    <w:p>
      <w:pPr>
        <w:pStyle w:val="0"/>
        <w:jc w:val="left"/>
        <w:rPr>
          <w:rFonts w:hint="default" w:asciiTheme="majorEastAsia" w:hAnsiTheme="majorEastAsia" w:eastAsiaTheme="majorEastAsia"/>
          <w:color w:val="000000" w:themeColor="text1"/>
          <w:spacing w:val="10"/>
          <w:sz w:val="24"/>
        </w:rPr>
      </w:pPr>
    </w:p>
    <w:p>
      <w:pPr>
        <w:pStyle w:val="0"/>
        <w:jc w:val="distribute"/>
        <w:rPr>
          <w:rFonts w:hint="default" w:asciiTheme="majorEastAsia" w:hAnsiTheme="majorEastAsia" w:eastAsiaTheme="majorEastAsia"/>
          <w:color w:val="000000" w:themeColor="text1"/>
          <w:spacing w:val="10"/>
          <w:sz w:val="24"/>
        </w:rPr>
      </w:pPr>
      <w:r>
        <w:rPr>
          <w:rFonts w:hint="eastAsia" w:asciiTheme="majorEastAsia" w:hAnsiTheme="majorEastAsia" w:eastAsiaTheme="majorEastAsia"/>
          <w:color w:val="000000" w:themeColor="text1"/>
          <w:spacing w:val="2"/>
          <w:sz w:val="24"/>
        </w:rPr>
        <w:t>Ⅱ　　非農地判断の対象となる農地　･･･････････････････････････　２</w:t>
      </w:r>
    </w:p>
    <w:p>
      <w:pPr>
        <w:pStyle w:val="0"/>
        <w:tabs>
          <w:tab w:val="left" w:leader="middleDot" w:pos="8207"/>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１．非農地判断の対象となる農地　･･･････････････････････････　２</w:t>
      </w:r>
    </w:p>
    <w:p>
      <w:pPr>
        <w:pStyle w:val="0"/>
        <w:tabs>
          <w:tab w:val="left" w:leader="middleDot" w:pos="8209"/>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２．非農地判断の対象となる農地の判断基準（例）　････････････　３</w:t>
      </w:r>
    </w:p>
    <w:p>
      <w:pPr>
        <w:pStyle w:val="0"/>
        <w:tabs>
          <w:tab w:val="left" w:leader="middleDot" w:pos="8080"/>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３．非農地判断の対象となる農地の事例　･･････････････････　４</w:t>
      </w:r>
    </w:p>
    <w:p>
      <w:pPr>
        <w:pStyle w:val="0"/>
        <w:jc w:val="left"/>
        <w:rPr>
          <w:rFonts w:hint="default" w:asciiTheme="majorEastAsia" w:hAnsiTheme="majorEastAsia" w:eastAsiaTheme="majorEastAsia"/>
          <w:color w:val="000000" w:themeColor="text1"/>
          <w:spacing w:val="10"/>
          <w:sz w:val="24"/>
        </w:rPr>
      </w:pPr>
    </w:p>
    <w:p>
      <w:pPr>
        <w:pStyle w:val="0"/>
        <w:jc w:val="distribute"/>
        <w:rPr>
          <w:rFonts w:hint="default" w:asciiTheme="majorEastAsia" w:hAnsiTheme="majorEastAsia" w:eastAsiaTheme="majorEastAsia"/>
          <w:color w:val="000000" w:themeColor="text1"/>
          <w:spacing w:val="2"/>
          <w:sz w:val="24"/>
        </w:rPr>
      </w:pPr>
      <w:r>
        <w:rPr>
          <w:rFonts w:hint="eastAsia" w:asciiTheme="majorEastAsia" w:hAnsiTheme="majorEastAsia" w:eastAsiaTheme="majorEastAsia"/>
          <w:color w:val="000000" w:themeColor="text1"/>
          <w:spacing w:val="2"/>
          <w:sz w:val="24"/>
        </w:rPr>
        <w:t>Ⅲ　　非農地判断の実施の流れ　･･･････････････････････････････････　７</w:t>
      </w:r>
    </w:p>
    <w:p>
      <w:pPr>
        <w:pStyle w:val="0"/>
        <w:tabs>
          <w:tab w:val="left" w:leader="middleDot" w:pos="8207"/>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１．利用状況調査の実施（農地・非農地の判断）　･･･････････････　７</w:t>
      </w:r>
    </w:p>
    <w:p>
      <w:pPr>
        <w:pStyle w:val="0"/>
        <w:tabs>
          <w:tab w:val="left" w:leader="middleDot" w:pos="8209"/>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２．所有者等および関係機関への通知と農地台帳の整理　･････････　７</w:t>
      </w:r>
    </w:p>
    <w:p>
      <w:pPr>
        <w:pStyle w:val="0"/>
        <w:jc w:val="left"/>
        <w:rPr>
          <w:rFonts w:hint="default" w:asciiTheme="majorEastAsia" w:hAnsiTheme="majorEastAsia" w:eastAsiaTheme="majorEastAsia"/>
          <w:color w:val="000000" w:themeColor="text1"/>
          <w:spacing w:val="10"/>
          <w:sz w:val="24"/>
        </w:rPr>
      </w:pPr>
    </w:p>
    <w:p>
      <w:pPr>
        <w:pStyle w:val="0"/>
        <w:spacing w:line="322" w:lineRule="exact"/>
        <w:jc w:val="left"/>
        <w:rPr>
          <w:rFonts w:hint="default" w:asciiTheme="majorEastAsia" w:hAnsiTheme="majorEastAsia" w:eastAsiaTheme="majorEastAsia"/>
          <w:color w:val="000000" w:themeColor="text1"/>
          <w:spacing w:val="10"/>
          <w:sz w:val="24"/>
        </w:rPr>
      </w:pPr>
      <w:r>
        <w:rPr>
          <w:rFonts w:hint="eastAsia" w:asciiTheme="majorEastAsia" w:hAnsiTheme="majorEastAsia" w:eastAsiaTheme="majorEastAsia"/>
          <w:color w:val="000000" w:themeColor="text1"/>
          <w:spacing w:val="10"/>
          <w:sz w:val="24"/>
        </w:rPr>
        <w:t>Ⅳ　　非農地判断した土地の地目変更登記</w:t>
      </w:r>
      <w:r>
        <w:rPr>
          <w:rFonts w:hint="eastAsia" w:asciiTheme="majorEastAsia" w:hAnsiTheme="majorEastAsia" w:eastAsiaTheme="majorEastAsia"/>
          <w:color w:val="000000" w:themeColor="text1"/>
          <w:spacing w:val="2"/>
          <w:sz w:val="24"/>
        </w:rPr>
        <w:t>　････････････････････････　９</w:t>
      </w:r>
    </w:p>
    <w:p>
      <w:pPr>
        <w:pStyle w:val="0"/>
        <w:tabs>
          <w:tab w:val="left" w:leader="middleDot" w:pos="8207"/>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１．非農地判断した土地の地目変更登記　･･･････････････････････　９</w:t>
      </w:r>
    </w:p>
    <w:p>
      <w:pPr>
        <w:pStyle w:val="0"/>
        <w:tabs>
          <w:tab w:val="left" w:leader="middleDot" w:pos="8209"/>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２．地方税法による地目変更事務　････････････････････････････　９</w:t>
      </w:r>
    </w:p>
    <w:p>
      <w:pPr>
        <w:pStyle w:val="0"/>
        <w:jc w:val="left"/>
        <w:rPr>
          <w:rFonts w:hint="default" w:asciiTheme="majorEastAsia" w:hAnsiTheme="majorEastAsia" w:eastAsiaTheme="majorEastAsia"/>
          <w:color w:val="000000" w:themeColor="text1"/>
          <w:spacing w:val="10"/>
          <w:sz w:val="24"/>
        </w:rPr>
      </w:pPr>
    </w:p>
    <w:p>
      <w:pPr>
        <w:pStyle w:val="0"/>
        <w:tabs>
          <w:tab w:val="left" w:leader="middleDot" w:pos="8080"/>
        </w:tabs>
        <w:spacing w:line="322" w:lineRule="exact"/>
        <w:jc w:val="distribute"/>
        <w:rPr>
          <w:rFonts w:hint="default" w:asciiTheme="majorEastAsia" w:hAnsiTheme="majorEastAsia" w:eastAsiaTheme="majorEastAsia"/>
          <w:color w:val="000000" w:themeColor="text1"/>
          <w:spacing w:val="2"/>
          <w:sz w:val="24"/>
        </w:rPr>
      </w:pPr>
      <w:r>
        <w:rPr>
          <w:rFonts w:hint="eastAsia" w:asciiTheme="majorEastAsia" w:hAnsiTheme="majorEastAsia" w:eastAsiaTheme="majorEastAsia"/>
          <w:color w:val="000000" w:themeColor="text1"/>
          <w:spacing w:val="10"/>
          <w:sz w:val="24"/>
        </w:rPr>
        <w:t>Ⅴ　　非農地判断と各法令の関係</w:t>
      </w:r>
      <w:r>
        <w:rPr>
          <w:rFonts w:hint="eastAsia" w:asciiTheme="majorEastAsia" w:hAnsiTheme="majorEastAsia" w:eastAsiaTheme="majorEastAsia"/>
          <w:color w:val="000000" w:themeColor="text1"/>
          <w:spacing w:val="2"/>
          <w:sz w:val="24"/>
        </w:rPr>
        <w:t>　･･･････････････････････････････　</w:t>
      </w:r>
      <w:r>
        <w:rPr>
          <w:rFonts w:hint="eastAsia" w:asciiTheme="majorEastAsia" w:hAnsiTheme="majorEastAsia" w:eastAsiaTheme="majorEastAsia"/>
          <w:color w:val="000000" w:themeColor="text1"/>
          <w:spacing w:val="2"/>
          <w:sz w:val="24"/>
        </w:rPr>
        <w:t>11</w:t>
      </w:r>
    </w:p>
    <w:p>
      <w:pPr>
        <w:pStyle w:val="0"/>
        <w:tabs>
          <w:tab w:val="left" w:leader="middleDot" w:pos="8080"/>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１．農業振興地域の整備に関する法律（農振法）･････････････････　</w:t>
      </w:r>
      <w:r>
        <w:rPr>
          <w:rFonts w:hint="eastAsia" w:asciiTheme="minorEastAsia" w:hAnsiTheme="minorEastAsia"/>
          <w:color w:val="000000" w:themeColor="text1"/>
          <w:spacing w:val="2"/>
          <w:sz w:val="24"/>
        </w:rPr>
        <w:t>11</w:t>
      </w:r>
    </w:p>
    <w:p>
      <w:pPr>
        <w:pStyle w:val="0"/>
        <w:tabs>
          <w:tab w:val="left" w:leader="middleDot" w:pos="8080"/>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２．土地改良法･･････････････････････････････････････････････　</w:t>
      </w:r>
      <w:r>
        <w:rPr>
          <w:rFonts w:hint="eastAsia" w:asciiTheme="minorEastAsia" w:hAnsiTheme="minorEastAsia"/>
          <w:color w:val="000000" w:themeColor="text1"/>
          <w:spacing w:val="2"/>
          <w:sz w:val="24"/>
        </w:rPr>
        <w:t>11</w:t>
      </w:r>
    </w:p>
    <w:p>
      <w:pPr>
        <w:pStyle w:val="0"/>
        <w:tabs>
          <w:tab w:val="left" w:leader="middleDot" w:pos="8080"/>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３．不動産登記法および登録免許税法････････････････････････････　</w:t>
      </w:r>
      <w:r>
        <w:rPr>
          <w:rFonts w:hint="eastAsia" w:asciiTheme="minorEastAsia" w:hAnsiTheme="minorEastAsia"/>
          <w:color w:val="000000" w:themeColor="text1"/>
          <w:spacing w:val="2"/>
          <w:sz w:val="24"/>
        </w:rPr>
        <w:t>11</w:t>
      </w:r>
    </w:p>
    <w:p>
      <w:pPr>
        <w:pStyle w:val="0"/>
        <w:tabs>
          <w:tab w:val="left" w:leader="middleDot" w:pos="8080"/>
        </w:tabs>
        <w:spacing w:line="322" w:lineRule="exact"/>
        <w:ind w:firstLine="426"/>
        <w:jc w:val="distribute"/>
        <w:rPr>
          <w:rFonts w:hint="default" w:asciiTheme="minorEastAsia" w:hAnsiTheme="minorEastAsia"/>
          <w:color w:val="000000" w:themeColor="text1"/>
          <w:spacing w:val="2"/>
          <w:sz w:val="24"/>
        </w:rPr>
      </w:pPr>
      <w:r>
        <w:rPr>
          <w:rFonts w:hint="eastAsia" w:asciiTheme="minorEastAsia" w:hAnsiTheme="minorEastAsia"/>
          <w:color w:val="000000" w:themeColor="text1"/>
          <w:spacing w:val="2"/>
          <w:sz w:val="24"/>
        </w:rPr>
        <w:t>４．地方税法････････････････････････････････････････････････　</w:t>
      </w:r>
      <w:r>
        <w:rPr>
          <w:rFonts w:hint="eastAsia" w:asciiTheme="minorEastAsia" w:hAnsiTheme="minorEastAsia"/>
          <w:color w:val="000000" w:themeColor="text1"/>
          <w:spacing w:val="2"/>
          <w:sz w:val="24"/>
        </w:rPr>
        <w:t>12</w:t>
      </w: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p>
    <w:p>
      <w:pPr>
        <w:pStyle w:val="0"/>
        <w:jc w:val="left"/>
        <w:rPr>
          <w:rFonts w:hint="default" w:asciiTheme="majorEastAsia" w:hAnsiTheme="majorEastAsia" w:eastAsiaTheme="majorEastAsia"/>
          <w:color w:val="000000" w:themeColor="text1"/>
          <w:spacing w:val="10"/>
          <w:sz w:val="24"/>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-60960</wp:posOffset>
                </wp:positionH>
                <wp:positionV relativeFrom="paragraph">
                  <wp:posOffset>224790</wp:posOffset>
                </wp:positionV>
                <wp:extent cx="5539105" cy="676275"/>
                <wp:effectExtent l="635" t="635" r="29845" b="10795"/>
                <wp:wrapNone/>
                <wp:docPr id="1027" name="正方形/長方形 84"/>
                <a:graphic xmlns:a="http://schemas.openxmlformats.org/drawingml/2006/main">
                  <a:graphicData uri="http://schemas.microsoft.com/office/word/2010/wordprocessingShape">
                    <wps:wsp>
                      <wps:cNvPr id="1027" name="正方形/長方形 84"/>
                      <wps:cNvSpPr/>
                      <wps:spPr>
                        <a:xfrm>
                          <a:off x="0" y="0"/>
                          <a:ext cx="5539105" cy="6762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84" style="mso-wrap-distance-right:9pt;mso-wrap-distance-bottom:0pt;margin-top:17.7pt;mso-position-vertical-relative:text;mso-position-horizontal-relative:text;position:absolute;height:53.25pt;mso-wrap-distance-top:0pt;width:436.15pt;mso-wrap-distance-left:9pt;margin-left:-4.8pt;z-index:2;" o:spid="_x0000_s1027" o:allowincell="t" o:allowoverlap="t" filled="f" stroked="t" strokecolor="#000000 [3213]" strokeweight="1pt" o:spt="1">
                <v:fill/>
                <v:stroke linestyle="single" miterlimit="8" endcap="flat" dashstyle="dash" filltype="solid"/>
                <v:textbox style="layout-flow:horizontal;"/>
                <v:imagedata o:title=""/>
                <w10:wrap type="none" anchorx="text" anchory="text"/>
              </v:rect>
            </w:pict>
          </mc:Fallback>
        </mc:AlternateContent>
      </w:r>
    </w:p>
    <w:p>
      <w:pPr>
        <w:pStyle w:val="0"/>
        <w:tabs>
          <w:tab w:val="left" w:leader="middleDot" w:pos="7938"/>
        </w:tabs>
        <w:spacing w:line="302" w:lineRule="exact"/>
        <w:rPr>
          <w:rFonts w:hint="default" w:ascii="ＭＳ 明朝" w:hAnsi="ＭＳ 明朝" w:eastAsia="ＭＳ 明朝"/>
          <w:color w:val="000000" w:themeColor="text1"/>
          <w:spacing w:val="10"/>
        </w:rPr>
      </w:pPr>
      <w:r>
        <w:rPr>
          <w:rFonts w:hint="eastAsia" w:ascii="ＭＳ 明朝" w:hAnsi="ＭＳ 明朝" w:eastAsia="ＭＳ 明朝"/>
          <w:color w:val="000000" w:themeColor="text1"/>
          <w:sz w:val="20"/>
        </w:rPr>
        <w:t>凡　例</w:t>
      </w:r>
    </w:p>
    <w:p>
      <w:pPr>
        <w:pStyle w:val="0"/>
        <w:snapToGrid w:val="0"/>
        <w:ind w:left="1276" w:hanging="1276" w:hangingChars="638"/>
        <w:rPr>
          <w:rFonts w:hint="default" w:ascii="ＭＳ 明朝" w:hAnsi="ＭＳ 明朝" w:eastAsia="ＭＳ 明朝"/>
          <w:color w:val="000000" w:themeColor="text1"/>
          <w:sz w:val="20"/>
          <w:u w:val="single" w:color="auto"/>
        </w:rPr>
      </w:pPr>
      <w:r>
        <w:rPr>
          <w:rFonts w:hint="eastAsia" w:ascii="ＭＳ 明朝" w:hAnsi="ＭＳ 明朝" w:eastAsia="ＭＳ 明朝"/>
          <w:color w:val="000000" w:themeColor="text1"/>
          <w:sz w:val="20"/>
        </w:rPr>
        <w:t>「運用通知」：平成</w:t>
      </w:r>
      <w:r>
        <w:rPr>
          <w:rFonts w:hint="default" w:ascii="ＭＳ 明朝" w:hAnsi="ＭＳ 明朝" w:eastAsia="ＭＳ 明朝"/>
          <w:color w:val="000000" w:themeColor="text1"/>
          <w:sz w:val="20"/>
        </w:rPr>
        <w:t>21</w:t>
      </w:r>
      <w:r>
        <w:rPr>
          <w:rFonts w:hint="eastAsia" w:ascii="ＭＳ 明朝" w:hAnsi="ＭＳ 明朝" w:eastAsia="ＭＳ 明朝"/>
          <w:color w:val="000000" w:themeColor="text1"/>
          <w:sz w:val="20"/>
        </w:rPr>
        <w:t>年</w:t>
      </w:r>
      <w:r>
        <w:rPr>
          <w:rFonts w:hint="default" w:ascii="ＭＳ 明朝" w:hAnsi="ＭＳ 明朝" w:eastAsia="ＭＳ 明朝"/>
          <w:color w:val="000000" w:themeColor="text1"/>
          <w:sz w:val="20"/>
        </w:rPr>
        <w:t>12</w:t>
      </w:r>
      <w:r>
        <w:rPr>
          <w:rFonts w:hint="eastAsia" w:ascii="ＭＳ 明朝" w:hAnsi="ＭＳ 明朝" w:eastAsia="ＭＳ 明朝"/>
          <w:color w:val="000000" w:themeColor="text1"/>
          <w:sz w:val="20"/>
        </w:rPr>
        <w:t>月</w:t>
      </w:r>
      <w:r>
        <w:rPr>
          <w:rFonts w:hint="default" w:ascii="ＭＳ 明朝" w:hAnsi="ＭＳ 明朝" w:eastAsia="ＭＳ 明朝"/>
          <w:color w:val="000000" w:themeColor="text1"/>
          <w:sz w:val="20"/>
        </w:rPr>
        <w:t>11</w:t>
      </w:r>
      <w:r>
        <w:rPr>
          <w:rFonts w:hint="eastAsia" w:ascii="ＭＳ 明朝" w:hAnsi="ＭＳ 明朝" w:eastAsia="ＭＳ 明朝"/>
          <w:color w:val="000000" w:themeColor="text1"/>
          <w:sz w:val="20"/>
        </w:rPr>
        <w:t>日</w:t>
      </w:r>
      <w:r>
        <w:rPr>
          <w:rFonts w:hint="default" w:ascii="ＭＳ 明朝" w:hAnsi="ＭＳ 明朝" w:eastAsia="ＭＳ 明朝"/>
          <w:color w:val="000000" w:themeColor="text1"/>
          <w:sz w:val="20"/>
        </w:rPr>
        <w:t>21</w:t>
      </w:r>
      <w:r>
        <w:rPr>
          <w:rFonts w:hint="eastAsia" w:ascii="ＭＳ 明朝" w:hAnsi="ＭＳ 明朝" w:eastAsia="ＭＳ 明朝"/>
          <w:color w:val="000000" w:themeColor="text1"/>
          <w:sz w:val="20"/>
        </w:rPr>
        <w:t>経営第</w:t>
      </w:r>
      <w:r>
        <w:rPr>
          <w:rFonts w:hint="default" w:ascii="ＭＳ 明朝" w:hAnsi="ＭＳ 明朝" w:eastAsia="ＭＳ 明朝"/>
          <w:color w:val="000000" w:themeColor="text1"/>
          <w:sz w:val="20"/>
        </w:rPr>
        <w:t>4530</w:t>
      </w:r>
      <w:r>
        <w:rPr>
          <w:rFonts w:hint="eastAsia" w:ascii="ＭＳ 明朝" w:hAnsi="ＭＳ 明朝" w:eastAsia="ＭＳ 明朝"/>
          <w:color w:val="000000" w:themeColor="text1"/>
          <w:sz w:val="20"/>
        </w:rPr>
        <w:t>号農振</w:t>
      </w:r>
      <w:r>
        <w:rPr>
          <w:rFonts w:hint="default" w:ascii="ＭＳ 明朝" w:hAnsi="ＭＳ 明朝" w:eastAsia="ＭＳ 明朝"/>
          <w:color w:val="000000" w:themeColor="text1"/>
          <w:sz w:val="20"/>
        </w:rPr>
        <w:t>1598</w:t>
      </w:r>
      <w:r>
        <w:rPr>
          <w:rFonts w:hint="eastAsia" w:ascii="ＭＳ 明朝" w:hAnsi="ＭＳ 明朝" w:eastAsia="ＭＳ 明朝"/>
          <w:color w:val="000000" w:themeColor="text1"/>
          <w:sz w:val="20"/>
        </w:rPr>
        <w:t>号農林水産省経営局長農村振興局長連名通知「『農地法の運用について』の制定について」</w:t>
      </w:r>
    </w:p>
    <w:p>
      <w:pPr>
        <w:rPr>
          <w:rFonts w:hint="default" w:ascii="ＭＳ 明朝" w:hAnsi="ＭＳ 明朝" w:eastAsia="ＭＳ 明朝"/>
          <w:color w:val="000000" w:themeColor="text1"/>
          <w:spacing w:val="10"/>
        </w:rPr>
        <w:sectPr>
          <w:footerReference r:id="rId6" w:type="default"/>
          <w:footerReference r:id="rId5" w:type="first"/>
          <w:type w:val="continuous"/>
          <w:pgSz w:w="11906" w:h="16838"/>
          <w:pgMar w:top="1985" w:right="1701" w:bottom="1701" w:left="1701" w:header="851" w:footer="992" w:gutter="0"/>
          <w:pgNumType w:start="1"/>
          <w:cols w:space="720"/>
          <w:titlePg w:val="1"/>
          <w:textDirection w:val="lrTb"/>
          <w:docGrid w:type="lines" w:linePitch="360"/>
        </w:sectPr>
      </w:pPr>
    </w:p>
    <w:p>
      <w:pPr>
        <w:pStyle w:val="0"/>
        <w:widowControl w:val="1"/>
        <w:jc w:val="left"/>
        <w:rPr>
          <w:rFonts w:hint="default" w:asciiTheme="majorEastAsia" w:hAnsiTheme="majorEastAsia" w:eastAsiaTheme="majorEastAsia"/>
          <w:b w:val="1"/>
          <w:color w:val="000000" w:themeColor="text1"/>
          <w:sz w:val="22"/>
          <w:bdr w:val="single" w:color="auto" w:sz="4" w:space="0"/>
        </w:rPr>
      </w:pPr>
      <w:r>
        <w:rPr>
          <w:rFonts w:hint="eastAsia" w:asciiTheme="majorEastAsia" w:hAnsiTheme="majorEastAsia" w:eastAsiaTheme="majorEastAsia"/>
          <w:b w:val="1"/>
          <w:color w:val="000000" w:themeColor="text1"/>
          <w:sz w:val="22"/>
          <w:bdr w:val="single" w:color="auto" w:sz="4" w:space="0"/>
        </w:rPr>
        <w:t>Ⅰ</w:t>
      </w:r>
      <w:r>
        <w:rPr>
          <w:rFonts w:hint="default" w:asciiTheme="majorEastAsia" w:hAnsiTheme="majorEastAsia" w:eastAsiaTheme="majorEastAsia"/>
          <w:b w:val="1"/>
          <w:color w:val="000000" w:themeColor="text1"/>
          <w:sz w:val="22"/>
          <w:bdr w:val="single" w:color="auto" w:sz="4" w:space="0"/>
        </w:rPr>
        <w:t>　はじめに</w:t>
      </w:r>
      <w:r>
        <w:rPr>
          <w:rFonts w:hint="eastAsia" w:asciiTheme="majorEastAsia" w:hAnsiTheme="majorEastAsia" w:eastAsiaTheme="majorEastAsia"/>
          <w:b w:val="1"/>
          <w:color w:val="000000" w:themeColor="text1"/>
          <w:sz w:val="22"/>
          <w:bdr w:val="single" w:color="auto" w:sz="4" w:space="0"/>
        </w:rPr>
        <w:t>　</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現在、我が国では人口減少や少子高齢化、食の多様化など社会構造が変化しており、これらに起因して農業の担い手は減少し、耕作放棄された農地（遊休農地等）の増加が危惧され、特に、生産条件が不利な中山間地域では、より深刻な状況になっている。</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このような中、耕作放棄された農地のうち再生利用が困難な農地（旧：荒廃農地の発生・解消状況調査における「Ｂ分類」）については、今後農地として利用の見込みがないにもかかわらず、農地として法的な制限を受けることで地域の有効な土地利用の妨げになっている場合がある。</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また、農業の担い手の減少が加速する中で、すべての農地を維持していくことが困難な地域においては、人・農地プランなど地域の話し合いの場を活用して「守るべき農地」と「それ以外の農地」を分類し、「それ以外の農地」であって維持管理が困難な農地については、地域の実情に合った土地の利用を検討することが今後求められている。</w:t>
      </w:r>
    </w:p>
    <w:p>
      <w:pPr>
        <w:pStyle w:val="0"/>
        <w:spacing w:line="400" w:lineRule="exact"/>
        <w:rPr>
          <w:rFonts w:hint="default" w:ascii="ＭＳ 明朝" w:hAnsi="ＭＳ 明朝" w:eastAsia="ＭＳ 明朝"/>
          <w:color w:val="000000" w:themeColor="text1"/>
          <w:sz w:val="22"/>
        </w:rPr>
      </w:pPr>
      <w:r>
        <w:rPr>
          <w:rFonts w:hint="eastAsia" w:asciiTheme="minorEastAsia" w:hAnsiTheme="minorEastAsia"/>
          <w:color w:val="000000" w:themeColor="text1"/>
          <w:sz w:val="22"/>
        </w:rPr>
        <w:t>　しかしながら、「運用通知」</w:t>
      </w:r>
      <w:r>
        <w:rPr>
          <w:rFonts w:hint="eastAsia" w:ascii="ＭＳ 明朝" w:hAnsi="ＭＳ 明朝" w:eastAsia="ＭＳ 明朝"/>
          <w:color w:val="000000" w:themeColor="text1"/>
          <w:sz w:val="22"/>
        </w:rPr>
        <w:t>に基づき</w:t>
      </w:r>
      <w:r>
        <w:rPr>
          <w:rFonts w:hint="eastAsia" w:asciiTheme="minorEastAsia" w:hAnsiTheme="minorEastAsia"/>
          <w:color w:val="000000" w:themeColor="text1"/>
          <w:sz w:val="22"/>
        </w:rPr>
        <w:t>再生利用が困難な農地</w:t>
      </w:r>
      <w:r>
        <w:rPr>
          <w:rFonts w:hint="eastAsia" w:ascii="ＭＳ 明朝" w:hAnsi="ＭＳ 明朝" w:eastAsia="ＭＳ 明朝"/>
          <w:color w:val="000000" w:themeColor="text1"/>
          <w:sz w:val="22"/>
        </w:rPr>
        <w:t>に対し行う、農地に該当しない旨の判断、いわゆる「非農地判断」は全国的に実施率が低い状況にある。</w:t>
      </w:r>
    </w:p>
    <w:p>
      <w:pPr>
        <w:pStyle w:val="0"/>
        <w:spacing w:line="400" w:lineRule="exact"/>
        <w:rPr>
          <w:rFonts w:hint="default" w:ascii="ＭＳ 明朝" w:hAnsi="ＭＳ 明朝" w:eastAsia="ＭＳ 明朝"/>
          <w:color w:val="000000" w:themeColor="text1"/>
          <w:sz w:val="22"/>
        </w:rPr>
      </w:pPr>
      <w:r>
        <w:rPr>
          <w:rFonts w:hint="eastAsia" w:ascii="ＭＳ 明朝" w:hAnsi="ＭＳ 明朝" w:eastAsia="ＭＳ 明朝"/>
          <w:color w:val="000000" w:themeColor="text1"/>
          <w:sz w:val="22"/>
        </w:rPr>
        <w:t>　そこで、本マニュアルでは改めて「非農地判断」の対象となる農地や円滑な実施の手順について整理し、農業委員会による「非農地判断」の実施率向上を目指すものとする。</w:t>
      </w:r>
    </w:p>
    <w:p>
      <w:pPr>
        <w:pStyle w:val="0"/>
        <w:widowControl w:val="1"/>
        <w:jc w:val="lef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ajorEastAsia" w:hAnsiTheme="majorEastAsia" w:eastAsiaTheme="majorEastAsia"/>
          <w:b w:val="1"/>
          <w:color w:val="000000" w:themeColor="text1"/>
          <w:sz w:val="22"/>
          <w:bdr w:val="single" w:color="auto" w:sz="4" w:space="0"/>
        </w:rPr>
      </w:pPr>
      <w:r>
        <w:rPr>
          <w:rFonts w:hint="eastAsia" w:asciiTheme="majorEastAsia" w:hAnsiTheme="majorEastAsia" w:eastAsiaTheme="majorEastAsia"/>
          <w:b w:val="1"/>
          <w:color w:val="000000" w:themeColor="text1"/>
          <w:sz w:val="22"/>
          <w:bdr w:val="single" w:color="auto" w:sz="4" w:space="0"/>
        </w:rPr>
        <w:t>Ⅱ</w:t>
      </w:r>
      <w:r>
        <w:rPr>
          <w:rFonts w:hint="default" w:asciiTheme="majorEastAsia" w:hAnsiTheme="majorEastAsia" w:eastAsiaTheme="majorEastAsia"/>
          <w:b w:val="1"/>
          <w:color w:val="000000" w:themeColor="text1"/>
          <w:sz w:val="22"/>
          <w:bdr w:val="single" w:color="auto" w:sz="4" w:space="0"/>
        </w:rPr>
        <w:t>　</w:t>
      </w:r>
      <w:r>
        <w:rPr>
          <w:rFonts w:hint="eastAsia" w:asciiTheme="majorEastAsia" w:hAnsiTheme="majorEastAsia" w:eastAsiaTheme="majorEastAsia"/>
          <w:b w:val="1"/>
          <w:color w:val="000000" w:themeColor="text1"/>
          <w:sz w:val="22"/>
          <w:bdr w:val="single" w:color="auto" w:sz="4" w:space="0"/>
        </w:rPr>
        <w:t>非農地判断の対象となる農地　</w:t>
      </w:r>
    </w:p>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１．非農地判断の対象となる農地</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（１）農地法第</w:t>
      </w:r>
      <w:r>
        <w:rPr>
          <w:rFonts w:hint="eastAsia" w:asciiTheme="minorEastAsia" w:hAnsiTheme="minorEastAsia"/>
          <w:color w:val="000000" w:themeColor="text1"/>
          <w:sz w:val="22"/>
        </w:rPr>
        <w:t>30</w:t>
      </w:r>
      <w:r>
        <w:rPr>
          <w:rFonts w:hint="eastAsia" w:asciiTheme="minorEastAsia" w:hAnsiTheme="minorEastAsia"/>
          <w:color w:val="000000" w:themeColor="text1"/>
          <w:sz w:val="22"/>
        </w:rPr>
        <w:t>条第１項に基づく利用状況調査は、農地が法第</w:t>
      </w:r>
      <w:r>
        <w:rPr>
          <w:rFonts w:hint="eastAsia" w:asciiTheme="minorEastAsia" w:hAnsiTheme="minorEastAsia"/>
          <w:color w:val="000000" w:themeColor="text1"/>
          <w:sz w:val="22"/>
        </w:rPr>
        <w:t>32</w:t>
      </w:r>
      <w:r>
        <w:rPr>
          <w:rFonts w:hint="eastAsia" w:asciiTheme="minorEastAsia" w:hAnsiTheme="minorEastAsia"/>
          <w:color w:val="000000" w:themeColor="text1"/>
          <w:sz w:val="22"/>
        </w:rPr>
        <w:t>条第１項各号のいずれかに該当するものかどうかについて行うものとされている。また、「運用通知」第３の１の（３）では利用状況調査の結果、遊休農地等は以下の４つに分類することとされている。</w:t>
      </w:r>
    </w:p>
    <w:p>
      <w:pPr>
        <w:pStyle w:val="0"/>
        <w:spacing w:line="400" w:lineRule="exact"/>
        <w:ind w:left="567" w:leftChars="202" w:hanging="143" w:hangingChars="65"/>
        <w:rPr>
          <w:rFonts w:hint="default" w:asciiTheme="minorEastAsia" w:hAnsiTheme="minorEastAsia"/>
          <w:color w:val="000000" w:themeColor="text1"/>
          <w:sz w:val="22"/>
        </w:rPr>
      </w:pPr>
      <w:r>
        <w:rPr>
          <w:rFonts w:hint="default" w:asciiTheme="minorEastAsia" w:hAnsiTheme="minorEastAsia"/>
          <w:color w:val="000000" w:themeColor="text1"/>
          <w:sz w:val="22"/>
        </w:rPr>
        <w:t xml:space="preserve">① </w:t>
      </w:r>
      <w:r>
        <w:rPr>
          <w:rFonts w:hint="eastAsia" w:ascii="ＭＳ 明朝" w:hAnsi="ＭＳ 明朝" w:eastAsia="ＭＳ 明朝"/>
          <w:kern w:val="0"/>
          <w:sz w:val="22"/>
        </w:rPr>
        <w:t>法第</w:t>
      </w:r>
      <w:r>
        <w:rPr>
          <w:rFonts w:hint="default" w:ascii="ＭＳ 明朝" w:hAnsi="ＭＳ 明朝" w:eastAsia="ＭＳ 明朝"/>
          <w:kern w:val="0"/>
          <w:sz w:val="22"/>
        </w:rPr>
        <w:t>32</w:t>
      </w:r>
      <w:r>
        <w:rPr>
          <w:rFonts w:hint="eastAsia" w:ascii="ＭＳ 明朝" w:hAnsi="ＭＳ 明朝" w:eastAsia="ＭＳ 明朝"/>
          <w:kern w:val="0"/>
          <w:sz w:val="22"/>
        </w:rPr>
        <w:t>条第１項第１号の遊休農地のうち、草刈り等を行うことにより、直ちに耕作することが可能となる農地（「草刈り等」とは、人力・農業用機械で行う草刈り・耕起・抜根・整地等をいう）</w:t>
      </w:r>
      <w:r>
        <w:rPr>
          <w:rFonts w:hint="eastAsia" w:ascii="ＭＳ 明朝" w:hAnsi="ＭＳ 明朝" w:eastAsia="ＭＳ 明朝"/>
          <w:b w:val="1"/>
          <w:kern w:val="0"/>
          <w:sz w:val="22"/>
          <w:u w:val="single" w:color="auto"/>
        </w:rPr>
        <w:t>（緑区分）</w:t>
      </w:r>
    </w:p>
    <w:p>
      <w:pPr>
        <w:pStyle w:val="0"/>
        <w:spacing w:line="400" w:lineRule="exact"/>
        <w:ind w:left="567" w:leftChars="202" w:hanging="143" w:hangingChars="65"/>
        <w:rPr>
          <w:rFonts w:hint="default" w:asciiTheme="minorEastAsia" w:hAnsiTheme="minorEastAsia"/>
          <w:color w:val="000000" w:themeColor="text1"/>
          <w:sz w:val="22"/>
        </w:rPr>
      </w:pPr>
      <w:r>
        <w:rPr>
          <w:rFonts w:hint="eastAsia" w:asciiTheme="minorEastAsia" w:hAnsiTheme="minorEastAsia"/>
          <w:color w:val="000000" w:themeColor="text1"/>
          <w:sz w:val="22"/>
        </w:rPr>
        <w:t>②</w:t>
      </w:r>
      <w:r>
        <w:rPr>
          <w:rFonts w:hint="eastAsia" w:asciiTheme="minorEastAsia" w:hAnsiTheme="minorEastAsia"/>
          <w:color w:val="000000" w:themeColor="text1"/>
          <w:sz w:val="22"/>
        </w:rPr>
        <w:t xml:space="preserve"> </w:t>
      </w:r>
      <w:r>
        <w:rPr>
          <w:rFonts w:hint="eastAsia" w:ascii="ＭＳ 明朝" w:hAnsi="ＭＳ 明朝" w:eastAsia="ＭＳ 明朝"/>
          <w:kern w:val="0"/>
          <w:sz w:val="22"/>
        </w:rPr>
        <w:t>法第</w:t>
      </w:r>
      <w:r>
        <w:rPr>
          <w:rFonts w:hint="default" w:ascii="ＭＳ 明朝" w:hAnsi="ＭＳ 明朝" w:eastAsia="ＭＳ 明朝"/>
          <w:kern w:val="0"/>
          <w:sz w:val="22"/>
        </w:rPr>
        <w:t>32</w:t>
      </w:r>
      <w:r>
        <w:rPr>
          <w:rFonts w:hint="eastAsia" w:ascii="ＭＳ 明朝" w:hAnsi="ＭＳ 明朝" w:eastAsia="ＭＳ 明朝"/>
          <w:kern w:val="0"/>
          <w:sz w:val="22"/>
        </w:rPr>
        <w:t>条第１項第１号の遊休農地のうち、草刈り等では直ちに耕作することはできないが、基盤整備事業の実施など農業的利用を図るための条件整備が必要となる農地</w:t>
      </w:r>
      <w:r>
        <w:rPr>
          <w:rFonts w:hint="eastAsia" w:ascii="ＭＳ 明朝" w:hAnsi="ＭＳ 明朝" w:eastAsia="ＭＳ 明朝"/>
          <w:b w:val="1"/>
          <w:kern w:val="0"/>
          <w:sz w:val="22"/>
          <w:u w:val="single" w:color="auto"/>
        </w:rPr>
        <w:t>（黄区分）</w:t>
      </w:r>
    </w:p>
    <w:p>
      <w:pPr>
        <w:pStyle w:val="0"/>
        <w:spacing w:line="400" w:lineRule="exact"/>
        <w:ind w:firstLine="425" w:firstLineChars="193"/>
        <w:rPr>
          <w:rFonts w:hint="default" w:asciiTheme="minorEastAsia" w:hAnsiTheme="minorEastAsia"/>
          <w:color w:val="000000" w:themeColor="text1"/>
          <w:sz w:val="22"/>
        </w:rPr>
      </w:pPr>
      <w:r>
        <w:rPr>
          <w:rFonts w:hint="eastAsia" w:asciiTheme="minorEastAsia" w:hAnsiTheme="minorEastAsia"/>
          <w:color w:val="000000" w:themeColor="text1"/>
          <w:sz w:val="22"/>
        </w:rPr>
        <w:t>③</w:t>
      </w:r>
      <w:r>
        <w:rPr>
          <w:rFonts w:hint="eastAsia" w:asciiTheme="minorEastAsia" w:hAnsiTheme="minorEastAsia"/>
          <w:color w:val="000000" w:themeColor="text1"/>
          <w:sz w:val="22"/>
        </w:rPr>
        <w:t xml:space="preserve"> </w:t>
      </w:r>
      <w:r>
        <w:rPr>
          <w:rFonts w:hint="eastAsia" w:ascii="ＭＳ 明朝" w:hAnsi="ＭＳ 明朝" w:eastAsia="ＭＳ 明朝"/>
          <w:kern w:val="0"/>
          <w:sz w:val="22"/>
        </w:rPr>
        <w:t>法第</w:t>
      </w:r>
      <w:r>
        <w:rPr>
          <w:rFonts w:hint="default" w:ascii="ＭＳ 明朝" w:hAnsi="ＭＳ 明朝" w:eastAsia="ＭＳ 明朝"/>
          <w:kern w:val="0"/>
          <w:sz w:val="22"/>
        </w:rPr>
        <w:t>32</w:t>
      </w:r>
      <w:r>
        <w:rPr>
          <w:rFonts w:hint="eastAsia" w:ascii="ＭＳ 明朝" w:hAnsi="ＭＳ 明朝" w:eastAsia="ＭＳ 明朝"/>
          <w:kern w:val="0"/>
          <w:sz w:val="22"/>
        </w:rPr>
        <w:t>条第１項第２号の遊休農地</w:t>
      </w:r>
    </w:p>
    <w:p>
      <w:pPr>
        <w:pStyle w:val="0"/>
        <w:spacing w:line="400" w:lineRule="exact"/>
        <w:ind w:left="567" w:leftChars="202" w:hanging="143" w:hangingChars="65"/>
        <w:rPr>
          <w:rFonts w:hint="default" w:asciiTheme="minorEastAsia" w:hAnsiTheme="minorEastAsia"/>
          <w:color w:val="000000" w:themeColor="text1"/>
          <w:sz w:val="22"/>
        </w:rPr>
      </w:pPr>
      <w:r>
        <w:rPr>
          <w:rFonts w:hint="eastAsia" w:asciiTheme="minorEastAsia" w:hAnsiTheme="minorEastAsia"/>
          <w:color w:val="000000" w:themeColor="text1"/>
          <w:sz w:val="22"/>
        </w:rPr>
        <w:t>④</w:t>
      </w:r>
      <w:r>
        <w:rPr>
          <w:rFonts w:hint="default" w:asciiTheme="minorEastAsia" w:hAnsiTheme="minorEastAsia"/>
          <w:color w:val="000000" w:themeColor="text1"/>
          <w:sz w:val="22"/>
        </w:rPr>
        <w:t xml:space="preserve"> </w:t>
      </w:r>
      <w:r>
        <w:rPr>
          <w:rFonts w:hint="eastAsia" w:ascii="ＭＳ 明朝" w:hAnsi="ＭＳ 明朝" w:eastAsia="ＭＳ 明朝"/>
          <w:kern w:val="0"/>
          <w:sz w:val="22"/>
          <w:u w:val="single" w:color="auto"/>
        </w:rPr>
        <w:t>再生利用が困難な農地（基盤整備事業の実施など農業的利用を図るための条件整備が計画されている場合は②として扱う）</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２）このうち、「④再生利用が困難な農地」とは、既に森林の様相を呈している場合や周囲の状況からみてその土地を農地として復元しても継続して利用することができない等農業上の利用の増進を図ることが見込まれない農地であり、かつ、農業的利用を図るための条件整備（基盤整備事業の実施等）が計画されていない農地である。</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（３）利用状況調査の結果「再生利用が困難な農地」と判断された土地については、調査後直ちに非農地判断（農地に該当しない旨の判断）を実施する。</w:t>
      </w:r>
    </w:p>
    <w:p>
      <w:pPr>
        <w:pStyle w:val="0"/>
        <w:spacing w:line="400" w:lineRule="exact"/>
        <w:ind w:left="424" w:leftChars="202" w:firstLine="233" w:firstLineChars="106"/>
        <w:rPr>
          <w:rFonts w:hint="default" w:asciiTheme="minorEastAsia" w:hAnsiTheme="minorEastAsia"/>
          <w:color w:val="000000" w:themeColor="text1"/>
          <w:sz w:val="22"/>
        </w:rPr>
      </w:pPr>
      <w:r>
        <w:rPr>
          <w:rFonts w:hint="eastAsia" w:asciiTheme="minorEastAsia" w:hAnsiTheme="minorEastAsia"/>
          <w:color w:val="000000" w:themeColor="text1"/>
          <w:sz w:val="22"/>
        </w:rPr>
        <w:t>また、農地中間管理機構により農地中間管理権に係る賃貸借又は使用貸借の解除がされた農地、農地中間管理機構から農地中間管理権の取得基準に適合しないと通知され勧告の対象外となった遊休農地についても、農業委員会は改めて上記に基づき農地に該当するか否かを判断する（「運用</w:t>
      </w:r>
      <w:r>
        <w:rPr>
          <w:rFonts w:hint="default" w:asciiTheme="minorEastAsia" w:hAnsiTheme="minorEastAsia"/>
          <w:color w:val="000000" w:themeColor="text1"/>
          <w:sz w:val="22"/>
        </w:rPr>
        <w:t>通知</w:t>
      </w:r>
      <w:r>
        <w:rPr>
          <w:rFonts w:hint="eastAsia" w:asciiTheme="minorEastAsia" w:hAnsiTheme="minorEastAsia"/>
          <w:color w:val="000000" w:themeColor="text1"/>
          <w:sz w:val="22"/>
        </w:rPr>
        <w:t>」第４の（１））。</w:t>
      </w:r>
    </w:p>
    <w:p>
      <w:pPr>
        <w:pStyle w:val="0"/>
        <w:spacing w:line="400" w:lineRule="exact"/>
        <w:ind w:left="424" w:leftChars="202" w:firstLine="233" w:firstLineChars="106"/>
        <w:rPr>
          <w:rFonts w:hint="default" w:asciiTheme="minorEastAsia" w:hAnsiTheme="minorEastAsia"/>
          <w:color w:val="000000" w:themeColor="text1"/>
          <w:sz w:val="22"/>
        </w:rPr>
      </w:pPr>
      <w:r>
        <w:rPr>
          <w:rFonts w:hint="eastAsia" w:asciiTheme="minorEastAsia" w:hAnsiTheme="minorEastAsia"/>
          <w:color w:val="000000" w:themeColor="text1"/>
          <w:sz w:val="22"/>
        </w:rPr>
        <w:t>なお、対象地が農地法第４条第１項若しくは第５条第１項の規定に違反すると認められる場合又は農地法第４条第１項若しくは第５条第１項の許可に付された条件に違反すると認められる場合は、農地に該当するか否かの判断を行わないものとする。この場合には、違反転用是正のための指導を行う。</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２．非農地判断の対象となる農地の判断基準（例）</w:t>
      </w:r>
    </w:p>
    <w:p>
      <w:pPr>
        <w:pStyle w:val="0"/>
        <w:suppressAutoHyphens w:val="1"/>
        <w:wordWrap w:val="0"/>
        <w:jc w:val="left"/>
        <w:textAlignment w:val="center"/>
        <w:rPr>
          <w:rFonts w:hint="default" w:ascii="ＭＳ 明朝" w:hAnsi="ＭＳ 明朝" w:eastAsia="ＭＳ 明朝"/>
          <w:kern w:val="0"/>
          <w:sz w:val="22"/>
        </w:rPr>
      </w:pPr>
      <w:r>
        <w:rPr>
          <w:rFonts w:hint="eastAsia" w:ascii="ＭＳ 明朝" w:hAnsi="ＭＳ 明朝" w:eastAsia="ＭＳ 明朝"/>
          <w:kern w:val="0"/>
          <w:sz w:val="22"/>
        </w:rPr>
        <w:t>　非農地判断の対象となる農地であるか否かの判断基準については前述の通りであるが、法第</w:t>
      </w:r>
      <w:r>
        <w:rPr>
          <w:rFonts w:hint="default" w:ascii="ＭＳ 明朝" w:hAnsi="ＭＳ 明朝" w:eastAsia="ＭＳ 明朝"/>
          <w:kern w:val="0"/>
          <w:sz w:val="22"/>
        </w:rPr>
        <w:t>32</w:t>
      </w:r>
      <w:r>
        <w:rPr>
          <w:rFonts w:hint="eastAsia" w:ascii="ＭＳ 明朝" w:hAnsi="ＭＳ 明朝" w:eastAsia="ＭＳ 明朝"/>
          <w:kern w:val="0"/>
          <w:sz w:val="22"/>
        </w:rPr>
        <w:t>条第１項第１号の遊休農地と再生利用が困難な農地のいずれに該当するかを判断する上で、詳細に基準を設けている例を以下に示す。</w:t>
      </w:r>
    </w:p>
    <w:p>
      <w:pPr>
        <w:pStyle w:val="0"/>
        <w:suppressAutoHyphens w:val="1"/>
        <w:wordWrap w:val="0"/>
        <w:ind w:firstLine="220" w:firstLineChars="100"/>
        <w:jc w:val="left"/>
        <w:textAlignment w:val="center"/>
        <w:rPr>
          <w:rFonts w:hint="default" w:ascii="ＭＳ 明朝" w:hAnsi="ＭＳ 明朝" w:eastAsia="ＭＳ 明朝"/>
          <w:kern w:val="0"/>
          <w:sz w:val="22"/>
        </w:rPr>
      </w:pPr>
      <w:r>
        <w:rPr>
          <w:rFonts w:hint="eastAsia" w:ascii="ＭＳ 明朝" w:hAnsi="ＭＳ 明朝" w:eastAsia="ＭＳ 明朝"/>
          <w:kern w:val="0"/>
          <w:sz w:val="22"/>
        </w:rPr>
        <w:t>農業委員会は、地域の実情に応じて「運用通知」の範囲内で以下のような基準を設けることで、円滑に判断できる体制を整備することが望ましい。この場合、あくまでも対象地の現況を客観的に判断するものであることに留意する。</w:t>
      </w:r>
    </w:p>
    <w:p>
      <w:pPr>
        <w:pStyle w:val="0"/>
        <w:suppressAutoHyphens w:val="1"/>
        <w:wordWrap w:val="0"/>
        <w:jc w:val="left"/>
        <w:textAlignment w:val="center"/>
        <w:rPr>
          <w:rFonts w:hint="default" w:ascii="ＭＳ 明朝" w:hAnsi="ＭＳ 明朝" w:eastAsia="ＭＳ 明朝"/>
          <w:kern w:val="0"/>
          <w:sz w:val="22"/>
        </w:rPr>
      </w:pPr>
    </w:p>
    <w:tbl>
      <w:tblPr>
        <w:tblStyle w:val="33"/>
        <w:tblpPr w:leftFromText="142" w:rightFromText="142" w:topFromText="0" w:bottomFromText="0" w:vertAnchor="text" w:horzAnchor="margin" w:tblpXSpec="left" w:tblpY="202"/>
        <w:tblW w:w="8784" w:type="dxa"/>
        <w:tblLayout w:type="fixed"/>
        <w:tblLook w:firstRow="1" w:lastRow="0" w:firstColumn="1" w:lastColumn="0" w:noHBand="0" w:noVBand="1" w:val="04A0"/>
      </w:tblPr>
      <w:tblGrid>
        <w:gridCol w:w="2547"/>
        <w:gridCol w:w="6237"/>
      </w:tblGrid>
      <w:tr>
        <w:trPr/>
        <w:tc>
          <w:tcPr>
            <w:tcW w:w="2547" w:type="dxa"/>
            <w:vAlign w:val="top"/>
          </w:tcPr>
          <w:p>
            <w:pPr>
              <w:pStyle w:val="0"/>
              <w:spacing w:line="400" w:lineRule="exact"/>
              <w:jc w:val="center"/>
              <w:rPr>
                <w:rFonts w:hint="default" w:asciiTheme="minorEastAsia" w:hAnsiTheme="minorEastAsia"/>
                <w:b w:val="1"/>
                <w:color w:val="000000" w:themeColor="text1"/>
                <w:sz w:val="22"/>
              </w:rPr>
            </w:pPr>
            <w:r>
              <w:rPr>
                <w:rFonts w:hint="eastAsia" w:asciiTheme="minorEastAsia" w:hAnsiTheme="minorEastAsia"/>
                <w:b w:val="1"/>
                <w:color w:val="000000" w:themeColor="text1"/>
                <w:sz w:val="22"/>
              </w:rPr>
              <w:t>区分</w:t>
            </w:r>
          </w:p>
        </w:tc>
        <w:tc>
          <w:tcPr>
            <w:tcW w:w="6237" w:type="dxa"/>
            <w:vAlign w:val="top"/>
          </w:tcPr>
          <w:p>
            <w:pPr>
              <w:pStyle w:val="0"/>
              <w:spacing w:line="400" w:lineRule="exact"/>
              <w:jc w:val="center"/>
              <w:rPr>
                <w:rFonts w:hint="default" w:asciiTheme="minorEastAsia" w:hAnsiTheme="minorEastAsia"/>
                <w:b w:val="1"/>
                <w:color w:val="000000" w:themeColor="text1"/>
                <w:sz w:val="22"/>
              </w:rPr>
            </w:pPr>
            <w:r>
              <w:rPr>
                <w:rFonts w:hint="eastAsia" w:asciiTheme="minorEastAsia" w:hAnsiTheme="minorEastAsia"/>
                <w:b w:val="1"/>
                <w:color w:val="000000" w:themeColor="text1"/>
                <w:sz w:val="22"/>
              </w:rPr>
              <w:t>判断基準の例</w:t>
            </w:r>
          </w:p>
        </w:tc>
      </w:tr>
      <w:tr>
        <w:trPr/>
        <w:tc>
          <w:tcPr>
            <w:tcW w:w="2547" w:type="dxa"/>
            <w:vAlign w:val="top"/>
          </w:tcPr>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color w:val="000000" w:themeColor="text1"/>
                <w:sz w:val="22"/>
              </w:rPr>
              <w:t>緑区分</w:t>
            </w:r>
          </w:p>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color w:val="000000" w:themeColor="text1"/>
                <w:sz w:val="22"/>
              </w:rPr>
              <w:t>→非農地判断の対象外</w:t>
            </w:r>
          </w:p>
        </w:tc>
        <w:tc>
          <w:tcPr>
            <w:tcW w:w="6237" w:type="dxa"/>
            <w:vAlign w:val="top"/>
          </w:tcPr>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・利用されておらず、草刈り等を行うことにより、直ちに耕作することが可能となる農地</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・一年生の雑草繁茂、多年生雑草繁茂の状態</w:t>
            </w:r>
          </w:p>
        </w:tc>
      </w:tr>
      <w:tr>
        <w:trPr/>
        <w:tc>
          <w:tcPr>
            <w:tcW w:w="2547" w:type="dxa"/>
            <w:vAlign w:val="top"/>
          </w:tcPr>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color w:val="000000" w:themeColor="text1"/>
                <w:sz w:val="22"/>
              </w:rPr>
              <w:t>黄区分</w:t>
            </w:r>
          </w:p>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color w:val="000000" w:themeColor="text1"/>
                <w:sz w:val="22"/>
              </w:rPr>
              <w:t>→非農地判断の対象外</w:t>
            </w:r>
          </w:p>
        </w:tc>
        <w:tc>
          <w:tcPr>
            <w:tcW w:w="6237" w:type="dxa"/>
            <w:vAlign w:val="top"/>
          </w:tcPr>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・利用されておらず、草刈り等では直ちに耕作することはできないが、基盤整備事業の実施など農業的利用を図るための条件整備により再生が可能となる農地</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・人の背丈以上に生育した雑木があるもの</w:t>
            </w:r>
          </w:p>
        </w:tc>
      </w:tr>
      <w:tr>
        <w:trPr/>
        <w:tc>
          <w:tcPr>
            <w:tcW w:w="2547" w:type="dxa"/>
            <w:vAlign w:val="top"/>
          </w:tcPr>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color w:val="000000" w:themeColor="text1"/>
                <w:sz w:val="22"/>
              </w:rPr>
              <w:t>再生利用が困難な農地</w:t>
            </w:r>
          </w:p>
          <w:p>
            <w:pPr>
              <w:pStyle w:val="0"/>
              <w:spacing w:line="400" w:lineRule="exact"/>
              <w:jc w:val="left"/>
              <w:rPr>
                <w:rFonts w:hint="default" w:asciiTheme="minorEastAsia" w:hAnsiTheme="minorEastAsia"/>
                <w:color w:val="000000" w:themeColor="text1"/>
                <w:sz w:val="22"/>
              </w:rPr>
            </w:pPr>
            <w:r>
              <w:rPr>
                <w:rFonts w:hint="eastAsia" w:asciiTheme="minorEastAsia" w:hAnsiTheme="minorEastAsia"/>
                <w:sz w:val="22"/>
              </w:rPr>
              <w:t>→</w:t>
            </w:r>
            <w:r>
              <w:rPr>
                <w:rFonts w:hint="eastAsia" w:asciiTheme="minorEastAsia" w:hAnsiTheme="minorEastAsia"/>
                <w:b w:val="1"/>
                <w:color w:val="FF0000"/>
                <w:sz w:val="22"/>
              </w:rPr>
              <w:t>非農地判断の対象</w:t>
            </w:r>
          </w:p>
        </w:tc>
        <w:tc>
          <w:tcPr>
            <w:tcW w:w="6237" w:type="dxa"/>
            <w:vAlign w:val="top"/>
          </w:tcPr>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・林野化しており農地に復元するのがかなり困難なもの</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・下記状況により、農地として復元しても継続して利用が見込めない農地</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①周囲の山林、建物等により日照が妨げられ、作物の生育に著しい障害が予想されるもの</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②周辺の山林化等により隔離され、当該農地に至ることが著しく困難なもの</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③周辺の開発により、農業用機械が当該農地に至ることが困難なもの</w:t>
            </w:r>
          </w:p>
        </w:tc>
      </w:tr>
    </w:tbl>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３．非農地判断の対象となる農地の事例について</w:t>
      </w:r>
    </w:p>
    <w:p>
      <w:pPr>
        <w:pStyle w:val="0"/>
        <w:spacing w:line="400" w:lineRule="exact"/>
        <w:rPr>
          <w:rFonts w:hint="default" w:asciiTheme="minorEastAsia" w:hAnsiTheme="minorEastAsia"/>
          <w:color w:val="000000" w:themeColor="text1"/>
          <w:sz w:val="22"/>
        </w:rPr>
      </w:pPr>
      <w:r>
        <w:rPr>
          <w:rFonts w:hint="eastAsia" w:ascii="ＭＳ ゴシック" w:hAnsi="ＭＳ ゴシック" w:eastAsia="ＭＳ ゴシック"/>
          <w:color w:val="000000" w:themeColor="text1"/>
          <w:sz w:val="22"/>
        </w:rPr>
        <w:t>　</w:t>
      </w:r>
      <w:r>
        <w:rPr>
          <w:rFonts w:hint="eastAsia" w:ascii="ＭＳ 明朝" w:hAnsi="ＭＳ 明朝" w:eastAsia="ＭＳ 明朝"/>
          <w:kern w:val="0"/>
          <w:sz w:val="22"/>
        </w:rPr>
        <w:t>再生利用が困難な農地の事例を以下に示す。ただし、事例の写真と同程度の状態に見える場合であっても、地域の実状等により判断が異なる場合もあるため、画一的な判断とならないよう、地域の実状を踏まえた客観的な判断となるよう留意す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①</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雑木が複数存在し、全体的に山林化している</w:t>
      </w: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drawing>
          <wp:anchor distT="0" distB="0" distL="114300" distR="114300" simplePos="0" relativeHeight="9" behindDoc="1" locked="0" layoutInCell="1" hidden="0" allowOverlap="1">
            <wp:simplePos x="0" y="0"/>
            <wp:positionH relativeFrom="column">
              <wp:posOffset>281940</wp:posOffset>
            </wp:positionH>
            <wp:positionV relativeFrom="paragraph">
              <wp:posOffset>88265</wp:posOffset>
            </wp:positionV>
            <wp:extent cx="4667250" cy="3697605"/>
            <wp:effectExtent l="0" t="0" r="0" b="0"/>
            <wp:wrapNone/>
            <wp:docPr id="1028" name="図 11" descr="森の中を歩いている&#10;&#10;中程度の精度で自動的に生成された説明"/>
            <a:graphic xmlns:a="http://schemas.openxmlformats.org/drawingml/2006/main">
              <a:graphicData uri="http://schemas.openxmlformats.org/drawingml/2006/picture">
                <pic:pic xmlns:pic="http://schemas.openxmlformats.org/drawingml/2006/picture">
                  <pic:nvPicPr>
                    <pic:cNvPr id="1028" name="図 11" descr="森の中を歩いている&#10;&#10;中程度の精度で自動的に生成された説明"/>
                    <pic:cNvPicPr/>
                  </pic:nvPicPr>
                  <pic:blipFill>
                    <a:blip r:embed="rId7"/>
                    <a:stretch>
                      <a:fillRect/>
                    </a:stretch>
                  </pic:blipFill>
                  <pic:spPr>
                    <a:xfrm>
                      <a:off x="0" y="0"/>
                      <a:ext cx="4667250" cy="3697605"/>
                    </a:xfrm>
                    <a:prstGeom prst="rect">
                      <a:avLst/>
                    </a:prstGeom>
                  </pic:spPr>
                </pic:pic>
              </a:graphicData>
            </a:graphic>
          </wp:anchor>
        </w:drawing>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②</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一部が山林化しており、山に隣接している（鳥獣被害も多い）</w:t>
      </w: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drawing>
          <wp:anchor distT="0" distB="0" distL="114300" distR="114300" simplePos="0" relativeHeight="4" behindDoc="1" locked="0" layoutInCell="1" hidden="0" allowOverlap="1">
            <wp:simplePos x="0" y="0"/>
            <wp:positionH relativeFrom="column">
              <wp:posOffset>279400</wp:posOffset>
            </wp:positionH>
            <wp:positionV relativeFrom="paragraph">
              <wp:posOffset>111125</wp:posOffset>
            </wp:positionV>
            <wp:extent cx="4908550" cy="3114040"/>
            <wp:effectExtent l="0" t="0" r="0" b="0"/>
            <wp:wrapNone/>
            <wp:docPr id="1029" name="Picture 6"/>
            <a:graphic xmlns:a="http://schemas.openxmlformats.org/drawingml/2006/main">
              <a:graphicData uri="http://schemas.openxmlformats.org/drawingml/2006/picture">
                <pic:pic xmlns:pic="http://schemas.openxmlformats.org/drawingml/2006/picture">
                  <pic:nvPicPr>
                    <pic:cNvPr id="1029" name="Picture 6"/>
                    <pic:cNvPicPr>
                      <a:picLocks noChangeAspect="1" noChangeArrowheads="1"/>
                    </pic:cNvPicPr>
                  </pic:nvPicPr>
                  <pic:blipFill>
                    <a:blip r:embed="rId8"/>
                    <a:stretch>
                      <a:fillRect/>
                    </a:stretch>
                  </pic:blipFill>
                  <pic:spPr>
                    <a:xfrm>
                      <a:off x="0" y="0"/>
                      <a:ext cx="4908550" cy="3114040"/>
                    </a:xfrm>
                    <a:prstGeom prst="rect">
                      <a:avLst/>
                    </a:prstGeom>
                    <a:noFill/>
                    <a:ln>
                      <a:noFill/>
                    </a:ln>
                  </pic:spPr>
                </pic:pic>
              </a:graphicData>
            </a:graphic>
          </wp:anchor>
        </w:drawing>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③</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小さく異形であり、復元しても継続して利用することが見込まれない</w:t>
      </w:r>
    </w:p>
    <w:p>
      <w:pPr>
        <w:pStyle w:val="0"/>
        <w:spacing w:line="400" w:lineRule="exact"/>
        <w:rPr>
          <w:rFonts w:hint="default" w:asciiTheme="minorEastAsia" w:hAnsiTheme="minorEastAsia"/>
          <w:color w:val="000000" w:themeColor="text1"/>
          <w:sz w:val="22"/>
        </w:rPr>
      </w:pPr>
      <w:r>
        <w:rPr>
          <w:rFonts w:hint="default"/>
        </w:rPr>
        <w:drawing>
          <wp:anchor distT="0" distB="0" distL="114300" distR="114300" simplePos="0" relativeHeight="6" behindDoc="1" locked="0" layoutInCell="1" hidden="0" allowOverlap="1">
            <wp:simplePos x="0" y="0"/>
            <wp:positionH relativeFrom="column">
              <wp:posOffset>317500</wp:posOffset>
            </wp:positionH>
            <wp:positionV relativeFrom="paragraph">
              <wp:posOffset>87630</wp:posOffset>
            </wp:positionV>
            <wp:extent cx="4878070" cy="3251835"/>
            <wp:effectExtent l="0" t="0" r="0" b="0"/>
            <wp:wrapNone/>
            <wp:docPr id="1030" name="図 2" descr="グラフィカル ユーザー インターフェイス, アプリケーション&#10;&#10;自動的に生成された説明"/>
            <a:graphic xmlns:a="http://schemas.openxmlformats.org/drawingml/2006/main">
              <a:graphicData uri="http://schemas.openxmlformats.org/drawingml/2006/picture">
                <pic:pic xmlns:pic="http://schemas.openxmlformats.org/drawingml/2006/picture">
                  <pic:nvPicPr>
                    <pic:cNvPr id="1030" name="図 2" descr="グラフィカル ユーザー インターフェイス, アプリケーション&#10;&#10;自動的に生成された説明"/>
                    <pic:cNvPicPr/>
                  </pic:nvPicPr>
                  <pic:blipFill>
                    <a:blip r:embed="rId9"/>
                    <a:srcRect l="30692" t="22263" r="13217" b="11267"/>
                    <a:stretch>
                      <a:fillRect/>
                    </a:stretch>
                  </pic:blipFill>
                  <pic:spPr>
                    <a:xfrm>
                      <a:off x="0" y="0"/>
                      <a:ext cx="4878070" cy="3251835"/>
                    </a:xfrm>
                    <a:prstGeom prst="rect">
                      <a:avLst/>
                    </a:prstGeom>
                    <a:ln>
                      <a:noFill/>
                    </a:ln>
                  </pic:spPr>
                </pic:pic>
              </a:graphicData>
            </a:graphic>
          </wp:anchor>
        </w:drawing>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④</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周辺の山林化により復元しても継続的な利用が見込まれない</w:t>
      </w: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drawing>
          <wp:anchor distT="0" distB="0" distL="114300" distR="114300" simplePos="0" relativeHeight="8" behindDoc="1" locked="0" layoutInCell="1" hidden="0" allowOverlap="1">
            <wp:simplePos x="0" y="0"/>
            <wp:positionH relativeFrom="column">
              <wp:posOffset>332740</wp:posOffset>
            </wp:positionH>
            <wp:positionV relativeFrom="paragraph">
              <wp:posOffset>96520</wp:posOffset>
            </wp:positionV>
            <wp:extent cx="4462145" cy="3346450"/>
            <wp:effectExtent l="0" t="0" r="0" b="0"/>
            <wp:wrapNone/>
            <wp:docPr id="1031" name="図 1" descr="茂みの中にいる&#10;&#10;中程度の精度で自動的に生成された説明"/>
            <a:graphic xmlns:a="http://schemas.openxmlformats.org/drawingml/2006/main">
              <a:graphicData uri="http://schemas.openxmlformats.org/drawingml/2006/picture">
                <pic:pic xmlns:pic="http://schemas.openxmlformats.org/drawingml/2006/picture">
                  <pic:nvPicPr>
                    <pic:cNvPr id="1031" name="図 1" descr="茂みの中にいる&#10;&#10;中程度の精度で自動的に生成された説明"/>
                    <pic:cNvPicPr>
                      <a:picLocks noChangeAspect="1"/>
                    </pic:cNvPicPr>
                  </pic:nvPicPr>
                  <pic:blipFill>
                    <a:blip r:embed="rId10"/>
                    <a:stretch>
                      <a:fillRect/>
                    </a:stretch>
                  </pic:blipFill>
                  <pic:spPr>
                    <a:xfrm>
                      <a:off x="0" y="0"/>
                      <a:ext cx="4462145" cy="3346450"/>
                    </a:xfrm>
                    <a:prstGeom prst="rect">
                      <a:avLst/>
                    </a:prstGeom>
                  </pic:spPr>
                </pic:pic>
              </a:graphicData>
            </a:graphic>
          </wp:anchor>
        </w:drawing>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⑤</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周辺の開発等により機械の進入が困難</w:t>
      </w:r>
    </w:p>
    <w:p>
      <w:pPr>
        <w:pStyle w:val="0"/>
        <w:spacing w:line="400" w:lineRule="exact"/>
        <w:rPr>
          <w:rFonts w:hint="default" w:asciiTheme="minorEastAsia" w:hAnsiTheme="minorEastAsia"/>
          <w:color w:val="000000" w:themeColor="text1"/>
          <w:sz w:val="22"/>
        </w:rPr>
      </w:pPr>
      <w:r>
        <w:rPr>
          <w:rFonts w:hint="default"/>
        </w:rPr>
        <w:drawing>
          <wp:anchor distT="0" distB="0" distL="114300" distR="114300" simplePos="0" relativeHeight="7" behindDoc="1" locked="0" layoutInCell="1" hidden="0" allowOverlap="1">
            <wp:simplePos x="0" y="0"/>
            <wp:positionH relativeFrom="column">
              <wp:posOffset>320040</wp:posOffset>
            </wp:positionH>
            <wp:positionV relativeFrom="paragraph">
              <wp:posOffset>73025</wp:posOffset>
            </wp:positionV>
            <wp:extent cx="4538345" cy="3339465"/>
            <wp:effectExtent l="0" t="0" r="0" b="0"/>
            <wp:wrapNone/>
            <wp:docPr id="1032" name="図 3" descr="グラフィカル ユーザー インターフェイス&#10;&#10;自動的に生成された説明"/>
            <a:graphic xmlns:a="http://schemas.openxmlformats.org/drawingml/2006/main">
              <a:graphicData uri="http://schemas.openxmlformats.org/drawingml/2006/picture">
                <pic:pic xmlns:pic="http://schemas.openxmlformats.org/drawingml/2006/picture">
                  <pic:nvPicPr>
                    <pic:cNvPr id="1032" name="図 3" descr="グラフィカル ユーザー インターフェイス&#10;&#10;自動的に生成された説明"/>
                    <pic:cNvPicPr/>
                  </pic:nvPicPr>
                  <pic:blipFill>
                    <a:blip r:embed="rId11"/>
                    <a:srcRect l="30339" t="23515" r="22214" b="14401"/>
                    <a:stretch>
                      <a:fillRect/>
                    </a:stretch>
                  </pic:blipFill>
                  <pic:spPr>
                    <a:xfrm>
                      <a:off x="0" y="0"/>
                      <a:ext cx="4538345" cy="3339465"/>
                    </a:xfrm>
                    <a:prstGeom prst="rect">
                      <a:avLst/>
                    </a:prstGeom>
                    <a:ln>
                      <a:noFill/>
                    </a:ln>
                  </pic:spPr>
                </pic:pic>
              </a:graphicData>
            </a:graphic>
          </wp:anchor>
        </w:drawing>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b w:val="1"/>
          <w:color w:val="000000" w:themeColor="text1"/>
          <w:sz w:val="22"/>
          <w:bdr w:val="single" w:color="auto" w:sz="4" w:space="0"/>
        </w:rPr>
        <w:t>Ⅲ</w:t>
      </w:r>
      <w:r>
        <w:rPr>
          <w:rFonts w:hint="default" w:asciiTheme="majorEastAsia" w:hAnsiTheme="majorEastAsia" w:eastAsiaTheme="majorEastAsia"/>
          <w:b w:val="1"/>
          <w:color w:val="000000" w:themeColor="text1"/>
          <w:sz w:val="22"/>
          <w:bdr w:val="single" w:color="auto" w:sz="4" w:space="0"/>
        </w:rPr>
        <w:t>　</w:t>
      </w:r>
      <w:r>
        <w:rPr>
          <w:rFonts w:hint="eastAsia" w:asciiTheme="majorEastAsia" w:hAnsiTheme="majorEastAsia" w:eastAsiaTheme="majorEastAsia"/>
          <w:b w:val="1"/>
          <w:color w:val="000000" w:themeColor="text1"/>
          <w:sz w:val="22"/>
          <w:bdr w:val="single" w:color="auto" w:sz="4" w:space="0"/>
        </w:rPr>
        <w:t>非農地判断の実施の流れ</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１．利用状況調査の実施（農地・非農地の判断）</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（１）農地法第</w:t>
      </w:r>
      <w:r>
        <w:rPr>
          <w:rFonts w:hint="eastAsia" w:asciiTheme="minorEastAsia" w:hAnsiTheme="minorEastAsia"/>
          <w:color w:val="000000" w:themeColor="text1"/>
          <w:sz w:val="22"/>
        </w:rPr>
        <w:t>30</w:t>
      </w:r>
      <w:r>
        <w:rPr>
          <w:rFonts w:hint="eastAsia" w:asciiTheme="minorEastAsia" w:hAnsiTheme="minorEastAsia"/>
          <w:color w:val="000000" w:themeColor="text1"/>
          <w:sz w:val="22"/>
        </w:rPr>
        <w:t>条第１項に基づく利用状況調査を行い、調査後直ちに「運用通知」に基づいて農地・非農地の判断を行う。農地利用最適化推進委員、農業委員（以下「推進委員等」という。）が３人以上で利用状況調査を実施し、その結果に基づき、再生利用が困難な農地と判断した場合は、農業委員会は、地目変更登記の有無にかかわらず、当該調査後直ちに農地台帳を整理することとされている（令和３年４月１日付け２経営第</w:t>
      </w:r>
      <w:r>
        <w:rPr>
          <w:rFonts w:hint="eastAsia" w:asciiTheme="minorEastAsia" w:hAnsiTheme="minorEastAsia"/>
          <w:color w:val="000000" w:themeColor="text1"/>
          <w:sz w:val="22"/>
        </w:rPr>
        <w:t>3505</w:t>
      </w:r>
      <w:r>
        <w:rPr>
          <w:rFonts w:hint="eastAsia" w:asciiTheme="minorEastAsia" w:hAnsiTheme="minorEastAsia"/>
          <w:color w:val="000000" w:themeColor="text1"/>
          <w:sz w:val="22"/>
        </w:rPr>
        <w:t>号農林水産省経営局農地政策課長通知）。</w:t>
      </w:r>
    </w:p>
    <w:p>
      <w:pPr>
        <w:pStyle w:val="0"/>
        <w:spacing w:line="400" w:lineRule="exact"/>
        <w:ind w:left="424" w:leftChars="202" w:firstLine="284" w:firstLineChars="129"/>
        <w:rPr>
          <w:rFonts w:hint="default" w:asciiTheme="minorEastAsia" w:hAnsiTheme="minorEastAsia"/>
          <w:color w:val="000000" w:themeColor="text1"/>
          <w:sz w:val="22"/>
        </w:rPr>
      </w:pPr>
      <w:r>
        <w:rPr>
          <w:rFonts w:hint="eastAsia" w:asciiTheme="minorEastAsia" w:hAnsiTheme="minorEastAsia"/>
          <w:color w:val="000000" w:themeColor="text1"/>
          <w:sz w:val="22"/>
        </w:rPr>
        <w:t>また、３人以上の委員等により利用状況調査が行えない場合には、現地の写真を撮影するなどして調査後に３人以上で協議を行い判断することも可能である。</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（２）非農地判断に当たっては、総会又は部会の議決を要しないこととされていることに留意する。</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３）利用状況調査は、推進委員等が農地一筆ごとに現地確認することとなっているが、複数の筆で既に森林の様相を呈していること等を目視により確認したときは、境界が確定しない場合であっても、非農地判断を行った上で、まとめて農地台帳を整理することは可能であり、その際は、当該土地の現況写真を撮影し、適切に保存するものとす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２．</w:t>
      </w:r>
      <w:bookmarkStart w:id="1" w:name="_Hlk89799921"/>
      <w:r>
        <w:rPr>
          <w:rFonts w:hint="eastAsia" w:asciiTheme="majorEastAsia" w:hAnsiTheme="majorEastAsia" w:eastAsiaTheme="majorEastAsia"/>
          <w:color w:val="000000" w:themeColor="text1"/>
          <w:sz w:val="22"/>
        </w:rPr>
        <w:t>所有者等および関係機関への通知と農地台帳の整理</w:t>
      </w:r>
      <w:bookmarkEnd w:id="1"/>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１）１の利用状況調査で農地に該当しない旨判断した土地については、所有者等および都道府県、市町村、法務局等の関係機関に対してその旨を通知する（所在が分からない所有者等に対しては、この限りではない）。</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（２）所有者等への通知については、非農地通知書（Ｐ</w:t>
      </w:r>
      <w:r>
        <w:rPr>
          <w:rFonts w:hint="eastAsia" w:asciiTheme="minorEastAsia" w:hAnsiTheme="minorEastAsia"/>
          <w:color w:val="000000" w:themeColor="text1"/>
          <w:sz w:val="22"/>
        </w:rPr>
        <w:t xml:space="preserve">.11 </w:t>
      </w:r>
      <w:r>
        <w:rPr>
          <w:rFonts w:hint="eastAsia" w:asciiTheme="minorEastAsia" w:hAnsiTheme="minorEastAsia"/>
          <w:color w:val="000000" w:themeColor="text1"/>
          <w:sz w:val="22"/>
        </w:rPr>
        <w:t>参考様式１）のほかに、土地の地目変更登記を促す案内（Ｐ</w:t>
      </w:r>
      <w:r>
        <w:rPr>
          <w:rFonts w:hint="eastAsia" w:asciiTheme="minorEastAsia" w:hAnsiTheme="minorEastAsia"/>
          <w:color w:val="000000" w:themeColor="text1"/>
          <w:sz w:val="22"/>
        </w:rPr>
        <w:t xml:space="preserve">.12 </w:t>
      </w:r>
      <w:r>
        <w:rPr>
          <w:rFonts w:hint="eastAsia" w:asciiTheme="minorEastAsia" w:hAnsiTheme="minorEastAsia"/>
          <w:color w:val="000000" w:themeColor="text1"/>
          <w:sz w:val="22"/>
        </w:rPr>
        <w:t>参考様式２）も併せて送付することが農地台帳を適正に整理する観点から望ましい。</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（３）関係機関への通知（Ｐ</w:t>
      </w:r>
      <w:r>
        <w:rPr>
          <w:rFonts w:hint="eastAsia" w:asciiTheme="minorEastAsia" w:hAnsiTheme="minorEastAsia"/>
          <w:color w:val="000000" w:themeColor="text1"/>
          <w:sz w:val="22"/>
        </w:rPr>
        <w:t>.13</w:t>
      </w:r>
      <w:r>
        <w:rPr>
          <w:rFonts w:hint="eastAsia" w:asciiTheme="minorEastAsia" w:hAnsiTheme="minorEastAsia"/>
          <w:color w:val="000000" w:themeColor="text1"/>
          <w:sz w:val="22"/>
        </w:rPr>
        <w:t>、</w:t>
      </w:r>
      <w:r>
        <w:rPr>
          <w:rFonts w:hint="eastAsia" w:asciiTheme="minorEastAsia" w:hAnsiTheme="minorEastAsia"/>
          <w:color w:val="000000" w:themeColor="text1"/>
          <w:sz w:val="22"/>
        </w:rPr>
        <w:t xml:space="preserve">14 </w:t>
      </w:r>
      <w:r>
        <w:rPr>
          <w:rFonts w:hint="eastAsia" w:asciiTheme="minorEastAsia" w:hAnsiTheme="minorEastAsia"/>
          <w:color w:val="000000" w:themeColor="text1"/>
          <w:sz w:val="22"/>
        </w:rPr>
        <w:t>参考様式３，４）については、非農地判断した土地の一覧表（Ｐ</w:t>
      </w:r>
      <w:r>
        <w:rPr>
          <w:rFonts w:hint="eastAsia" w:asciiTheme="minorEastAsia" w:hAnsiTheme="minorEastAsia"/>
          <w:color w:val="000000" w:themeColor="text1"/>
          <w:sz w:val="22"/>
        </w:rPr>
        <w:t xml:space="preserve">.15 </w:t>
      </w:r>
      <w:r>
        <w:rPr>
          <w:rFonts w:hint="eastAsia" w:asciiTheme="minorEastAsia" w:hAnsiTheme="minorEastAsia"/>
          <w:color w:val="000000" w:themeColor="text1"/>
          <w:sz w:val="22"/>
        </w:rPr>
        <w:t>参考様式５）も併せて送付するとともに、法務局に対しては所有者等から地目変更登記の申請がなされることを考慮し、事前に情報提供を行っておくことが望ましい。</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（４）農地台帳については、現況地目を実態に合わせて「山林」「原野」等に変更することにより整理する。</w:t>
      </w:r>
    </w:p>
    <w:p>
      <w:pPr>
        <w:pStyle w:val="0"/>
        <w:spacing w:line="400" w:lineRule="exact"/>
        <w:rPr>
          <w:rFonts w:hint="default" w:asciiTheme="minorEastAsia" w:hAnsiTheme="minorEastAsia"/>
          <w:color w:val="000000" w:themeColor="text1"/>
          <w:sz w:val="22"/>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-127635</wp:posOffset>
                </wp:positionH>
                <wp:positionV relativeFrom="paragraph">
                  <wp:posOffset>-3175</wp:posOffset>
                </wp:positionV>
                <wp:extent cx="5699760" cy="1866900"/>
                <wp:effectExtent l="635" t="635" r="29845" b="10795"/>
                <wp:wrapNone/>
                <wp:docPr id="1033" name="正方形/長方形 4"/>
                <a:graphic xmlns:a="http://schemas.openxmlformats.org/drawingml/2006/main">
                  <a:graphicData uri="http://schemas.microsoft.com/office/word/2010/wordprocessingShape">
                    <wps:wsp>
                      <wps:cNvPr id="1033" name="正方形/長方形 4"/>
                      <wps:cNvSpPr/>
                      <wps:spPr>
                        <a:xfrm>
                          <a:off x="0" y="0"/>
                          <a:ext cx="5699760" cy="18669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 style="mso-wrap-distance-right:9pt;mso-wrap-distance-bottom:0pt;margin-top:-0.25pt;mso-position-vertical-relative:text;mso-position-horizontal-relative:text;position:absolute;height:147pt;mso-wrap-distance-top:0pt;width:448.8pt;mso-wrap-distance-left:9pt;margin-left:-10.050000000000001pt;z-index:3;" o:spid="_x0000_s1033" o:allowincell="t" o:allowoverlap="t" filled="f" stroked="t" strokecolor="#000000 [3213]" strokeweight="1pt" o:spt="1">
                <v:fill/>
                <v:stroke linestyle="single" miterlimit="8" endcap="flat" dashstyle="dash" filltype="solid"/>
                <v:textbox style="layout-flow:horizontal;"/>
                <v:imagedata o:title=""/>
                <w10:wrap type="none" anchorx="text" anchory="text"/>
              </v:rect>
            </w:pict>
          </mc:Fallback>
        </mc:AlternateContent>
      </w:r>
      <w:r>
        <w:rPr>
          <w:rFonts w:hint="eastAsia" w:asciiTheme="minorEastAsia" w:hAnsiTheme="minorEastAsia"/>
          <w:color w:val="000000" w:themeColor="text1"/>
          <w:sz w:val="22"/>
        </w:rPr>
        <w:t>【参考】法務局との事前打ち合わせ</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非農地判断後の地目変更登記手続きについては、登記官により事務手続きに多少の違いがある場合があり、所管する法務局の登記官と以下の点について事前打ち合わせを行うことが望ましい。</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①登記官が一回の通知で処理可能な件数</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②農地所有者等へ案内する地目変更登記に係る必要書類</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③登記官が実施する地目変更登記のための現地調査の手法</w:t>
      </w: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b w:val="1"/>
          <w:color w:val="000000" w:themeColor="text1"/>
          <w:sz w:val="22"/>
          <w:bdr w:val="single" w:color="auto" w:sz="4" w:space="0"/>
        </w:rPr>
        <w:t>Ⅳ</w:t>
      </w:r>
      <w:r>
        <w:rPr>
          <w:rFonts w:hint="default" w:asciiTheme="majorEastAsia" w:hAnsiTheme="majorEastAsia" w:eastAsiaTheme="majorEastAsia"/>
          <w:b w:val="1"/>
          <w:color w:val="000000" w:themeColor="text1"/>
          <w:sz w:val="22"/>
          <w:bdr w:val="single" w:color="auto" w:sz="4" w:space="0"/>
        </w:rPr>
        <w:t>　</w:t>
      </w:r>
      <w:r>
        <w:rPr>
          <w:rFonts w:hint="eastAsia" w:asciiTheme="majorEastAsia" w:hAnsiTheme="majorEastAsia" w:eastAsiaTheme="majorEastAsia"/>
          <w:b w:val="1"/>
          <w:color w:val="000000" w:themeColor="text1"/>
          <w:sz w:val="22"/>
          <w:bdr w:val="single" w:color="auto" w:sz="4" w:space="0"/>
        </w:rPr>
        <w:t>非農地判断した土地の地目変更登記</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１．非農地判断した土地の地目変更登記</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（１）土地の地目変更登記については、基本的に所有者が申請することとされているが、農業委員会から非農地である旨通知を受けた土地の所有者が当該申請を行っていない事案が多数見受けられている。</w:t>
      </w:r>
    </w:p>
    <w:p>
      <w:pPr>
        <w:pStyle w:val="0"/>
        <w:spacing w:line="400" w:lineRule="exact"/>
        <w:ind w:left="426" w:firstLine="279" w:firstLineChars="127"/>
        <w:rPr>
          <w:rFonts w:hint="default" w:asciiTheme="minorEastAsia" w:hAnsiTheme="minorEastAsia"/>
          <w:color w:val="000000" w:themeColor="text1"/>
          <w:sz w:val="22"/>
        </w:rPr>
      </w:pPr>
      <w:r>
        <w:rPr>
          <w:rFonts w:hint="eastAsia" w:asciiTheme="minorEastAsia" w:hAnsiTheme="minorEastAsia"/>
          <w:color w:val="000000" w:themeColor="text1"/>
          <w:sz w:val="22"/>
        </w:rPr>
        <w:t>このような中、地方税法第</w:t>
      </w:r>
      <w:r>
        <w:rPr>
          <w:rFonts w:hint="eastAsia" w:asciiTheme="minorEastAsia" w:hAnsiTheme="minorEastAsia"/>
          <w:color w:val="000000" w:themeColor="text1"/>
          <w:sz w:val="22"/>
        </w:rPr>
        <w:t>381</w:t>
      </w:r>
      <w:r>
        <w:rPr>
          <w:rFonts w:hint="eastAsia" w:asciiTheme="minorEastAsia" w:hAnsiTheme="minorEastAsia"/>
          <w:color w:val="000000" w:themeColor="text1"/>
          <w:sz w:val="22"/>
        </w:rPr>
        <w:t>条第７項では、</w:t>
      </w:r>
      <w:bookmarkStart w:id="2" w:name="_Hlk95384410"/>
      <w:r>
        <w:rPr>
          <w:rFonts w:hint="eastAsia" w:asciiTheme="minorEastAsia" w:hAnsiTheme="minorEastAsia"/>
          <w:color w:val="000000" w:themeColor="text1"/>
          <w:sz w:val="22"/>
        </w:rPr>
        <w:t>「地目その他登記されている事項が事実と相違するため課税上支障があると認められる場合」</w:t>
      </w:r>
      <w:bookmarkEnd w:id="2"/>
      <w:r>
        <w:rPr>
          <w:rFonts w:hint="eastAsia" w:asciiTheme="minorEastAsia" w:hAnsiTheme="minorEastAsia"/>
          <w:color w:val="000000" w:themeColor="text1"/>
          <w:sz w:val="22"/>
        </w:rPr>
        <w:t>においては、市町村長が職権で登記の修正を申し出ることができるとされており、一部の市町村ではこの制度を活用して一括して法務局に地目変更の申出を行っている事例がある。</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２）本制度を活用することで、農地台帳と固定資産課税台帳との登記地目が合致し、以後の現況確認の事務負担の軽減にも繋がることから、各農業委員会においては市町村の固定資産税課税部局および法務局と協議の上、積極的に本制度の活用を検討することが望ましい（「非農地判断の徹底について」令和３年４月１日付け２経営第</w:t>
      </w:r>
      <w:r>
        <w:rPr>
          <w:rFonts w:hint="eastAsia" w:asciiTheme="minorEastAsia" w:hAnsiTheme="minorEastAsia"/>
          <w:color w:val="000000" w:themeColor="text1"/>
          <w:sz w:val="22"/>
        </w:rPr>
        <w:t>3505</w:t>
      </w:r>
      <w:r>
        <w:rPr>
          <w:rFonts w:hint="eastAsia" w:asciiTheme="minorEastAsia" w:hAnsiTheme="minorEastAsia"/>
          <w:color w:val="000000" w:themeColor="text1"/>
          <w:sz w:val="22"/>
        </w:rPr>
        <w:t>号農林水産省経営局農地政策課長通知）。</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２．地方税法に基づく地目変更事務</w:t>
      </w:r>
    </w:p>
    <w:p>
      <w:pPr>
        <w:pStyle w:val="0"/>
        <w:spacing w:line="400" w:lineRule="exact"/>
        <w:ind w:left="1" w:firstLine="220" w:firstLineChars="100"/>
        <w:rPr>
          <w:rFonts w:hint="default" w:asciiTheme="minorEastAsia" w:hAnsiTheme="minorEastAsia"/>
          <w:color w:val="000000" w:themeColor="text1"/>
          <w:sz w:val="22"/>
        </w:rPr>
      </w:pPr>
      <w:r>
        <w:rPr>
          <w:rFonts w:hint="eastAsia" w:asciiTheme="minorEastAsia" w:hAnsiTheme="minorEastAsia"/>
          <w:color w:val="000000" w:themeColor="text1"/>
          <w:sz w:val="22"/>
        </w:rPr>
        <w:t>地方税法に基づき市町村長から一括して地目変更登記の申出を行う場合には、以下の手順により実施することが望ましい。</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（１）</w:t>
      </w:r>
      <w:r>
        <w:rPr>
          <w:rFonts w:hint="eastAsia" w:asciiTheme="minorEastAsia" w:hAnsiTheme="minorEastAsia"/>
          <w:color w:val="000000" w:themeColor="text1"/>
          <w:sz w:val="22"/>
        </w:rPr>
        <w:t>本制度の活用にあたっては、まず農業委員会、市町村、法務局等の関係機関で事前協議を行い、申出に際して法務局が必要とする資料の確認および一回の申出で処理が可能な件数などの調整を行う。</w:t>
      </w:r>
      <w:r>
        <w:rPr>
          <w:rFonts w:hint="eastAsia" w:asciiTheme="minorEastAsia" w:hAnsiTheme="minorEastAsia"/>
          <w:sz w:val="22"/>
        </w:rPr>
        <w:t>（農業委員会、市町村が個別に協議を行うことが難しい場合もあるため、都道府県や都道府県農業委員会ネットワーク機構とも連携して協議を進めることが望ましい。）</w:t>
      </w:r>
    </w:p>
    <w:p>
      <w:pPr>
        <w:pStyle w:val="0"/>
        <w:spacing w:line="400" w:lineRule="exact"/>
        <w:ind w:left="67" w:leftChars="32"/>
        <w:rPr>
          <w:rFonts w:hint="default" w:asciiTheme="minorEastAsia" w:hAnsiTheme="minorEastAsia"/>
          <w:color w:val="000000" w:themeColor="text1"/>
          <w:sz w:val="22"/>
        </w:rPr>
      </w:pPr>
      <w:r>
        <w:rPr>
          <w:rFonts w:hint="eastAsia" w:asciiTheme="minorEastAsia" w:hAnsiTheme="minorEastAsia"/>
          <w:color w:val="000000" w:themeColor="text1"/>
          <w:sz w:val="22"/>
        </w:rPr>
        <w:t>（２）なお、申出に際して必要とされる資料については、次の①～④等が想定される。</w:t>
      </w:r>
    </w:p>
    <w:p>
      <w:pPr>
        <w:pStyle w:val="0"/>
        <w:spacing w:line="400" w:lineRule="exact"/>
        <w:ind w:right="-143" w:firstLine="440" w:firstLineChars="200"/>
        <w:rPr>
          <w:rFonts w:hint="default" w:asciiTheme="minorEastAsia" w:hAnsiTheme="minorEastAsia"/>
          <w:color w:val="000000" w:themeColor="text1"/>
          <w:sz w:val="22"/>
        </w:rPr>
      </w:pPr>
      <w:r>
        <w:rPr>
          <w:rFonts w:hint="eastAsia" w:asciiTheme="minorEastAsia" w:hAnsiTheme="minorEastAsia"/>
          <w:color w:val="000000" w:themeColor="text1"/>
          <w:sz w:val="22"/>
        </w:rPr>
        <w:t>①非農地通知一覧（所在、地番、地積、地目、所有者等の情報が記載されたもの）</w:t>
      </w:r>
    </w:p>
    <w:p>
      <w:pPr>
        <w:pStyle w:val="0"/>
        <w:spacing w:line="400" w:lineRule="exact"/>
        <w:ind w:left="1" w:firstLine="220" w:firstLineChars="100"/>
        <w:rPr>
          <w:rFonts w:hint="default" w:asciiTheme="minorEastAsia" w:hAnsiTheme="minorEastAsia"/>
          <w:color w:val="000000" w:themeColor="text1"/>
          <w:sz w:val="22"/>
        </w:rPr>
      </w:pPr>
      <w:r>
        <w:rPr>
          <w:rFonts w:hint="eastAsia" w:asciiTheme="minorEastAsia" w:hAnsiTheme="minorEastAsia"/>
          <w:color w:val="000000" w:themeColor="text1"/>
          <w:sz w:val="22"/>
        </w:rPr>
        <w:t>　②現地を調査したことが分かる資料</w:t>
      </w:r>
    </w:p>
    <w:p>
      <w:pPr>
        <w:pStyle w:val="0"/>
        <w:spacing w:line="400" w:lineRule="exact"/>
        <w:ind w:left="425" w:leftChars="104" w:hanging="207" w:hangingChars="94"/>
        <w:rPr>
          <w:rFonts w:hint="default" w:asciiTheme="minorEastAsia" w:hAnsiTheme="minorEastAsia"/>
          <w:color w:val="000000" w:themeColor="text1"/>
          <w:sz w:val="22"/>
        </w:rPr>
      </w:pPr>
      <w:r>
        <w:rPr>
          <w:rFonts w:hint="eastAsia" w:asciiTheme="minorEastAsia" w:hAnsiTheme="minorEastAsia"/>
          <w:color w:val="000000" w:themeColor="text1"/>
          <w:sz w:val="22"/>
        </w:rPr>
        <w:t>　③位置図、現況写真等の土地の場所が確認できるもの（農地ナビの写真等のどこを撮影したかがわかるレベルのものであれば可）</w:t>
      </w:r>
    </w:p>
    <w:p>
      <w:pPr>
        <w:pStyle w:val="0"/>
        <w:spacing w:line="400" w:lineRule="exact"/>
        <w:ind w:left="563" w:leftChars="104" w:hanging="345" w:hangingChars="157"/>
        <w:rPr>
          <w:rFonts w:hint="default" w:asciiTheme="minorEastAsia" w:hAnsiTheme="minorEastAsia"/>
          <w:color w:val="000000" w:themeColor="text1"/>
          <w:sz w:val="22"/>
        </w:rPr>
      </w:pPr>
      <w:r>
        <w:rPr>
          <w:rFonts w:hint="eastAsia" w:asciiTheme="minorEastAsia" w:hAnsiTheme="minorEastAsia"/>
          <w:color w:val="000000" w:themeColor="text1"/>
          <w:sz w:val="22"/>
        </w:rPr>
        <w:t>　④その他地目の変更に関し、登記官の認定に資するもの</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（３）</w:t>
      </w:r>
      <w:r>
        <w:rPr>
          <w:rFonts w:hint="eastAsia" w:asciiTheme="minorEastAsia" w:hAnsiTheme="minorEastAsia"/>
          <w:color w:val="000000" w:themeColor="text1"/>
          <w:sz w:val="22"/>
        </w:rPr>
        <w:t>非農地判断を行った土地について、農業委員会から所有者等および関係機関に必要な通知（Ｐ</w:t>
      </w:r>
      <w:r>
        <w:rPr>
          <w:rFonts w:hint="eastAsia" w:asciiTheme="minorEastAsia" w:hAnsiTheme="minorEastAsia"/>
          <w:color w:val="000000" w:themeColor="text1"/>
          <w:sz w:val="22"/>
        </w:rPr>
        <w:t>.</w:t>
      </w:r>
      <w:r>
        <w:rPr>
          <w:rFonts w:hint="eastAsia" w:asciiTheme="minorEastAsia" w:hAnsiTheme="minorEastAsia"/>
          <w:color w:val="000000" w:themeColor="text1"/>
          <w:sz w:val="22"/>
        </w:rPr>
        <w:t>７</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参照）を行い、併せて（１）の事前協議により定めた必要資料を準備する。なお、本制度を活用する際の所有者等へ発出する非農地通知書については、地目変更登記の円滑な事務処理を行うため、市町村長が法務局へ地目変更の申出を行う旨記載することが望ましい。</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（４）</w:t>
      </w:r>
      <w:r>
        <w:rPr>
          <w:rFonts w:hint="eastAsia" w:asciiTheme="minorEastAsia" w:hAnsiTheme="minorEastAsia"/>
          <w:color w:val="000000" w:themeColor="text1"/>
          <w:sz w:val="22"/>
        </w:rPr>
        <w:t>農業委員会は、市町村の固定資産税課税部局に対して地方税法第３８１条第７項の規定による地目の変更登記を法務局に申出（Ｐ</w:t>
      </w:r>
      <w:r>
        <w:rPr>
          <w:rFonts w:hint="eastAsia" w:asciiTheme="minorEastAsia" w:hAnsiTheme="minorEastAsia"/>
          <w:color w:val="000000" w:themeColor="text1"/>
          <w:sz w:val="22"/>
        </w:rPr>
        <w:t xml:space="preserve">.16 </w:t>
      </w:r>
      <w:r>
        <w:rPr>
          <w:rFonts w:hint="eastAsia" w:asciiTheme="minorEastAsia" w:hAnsiTheme="minorEastAsia"/>
          <w:color w:val="000000" w:themeColor="text1"/>
          <w:sz w:val="22"/>
        </w:rPr>
        <w:t>参考様式６）すべき旨の要請を行う。この際、（１）の事前協議により定めた必要書類を添付する。</w:t>
      </w:r>
    </w:p>
    <w:p>
      <w:pPr>
        <w:pStyle w:val="0"/>
        <w:spacing w:line="400" w:lineRule="exact"/>
        <w:rPr>
          <w:rFonts w:hint="default" w:asciiTheme="minorEastAsia" w:hAnsiTheme="minorEastAsia"/>
          <w:color w:val="000000" w:themeColor="text1"/>
          <w:sz w:val="22"/>
        </w:rPr>
      </w:pPr>
    </w:p>
    <w:p>
      <w:pPr>
        <w:pStyle w:val="0"/>
        <w:spacing w:line="400" w:lineRule="exact"/>
        <w:ind w:left="425" w:hanging="425" w:hangingChars="193"/>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（５）</w:t>
      </w:r>
      <w:r>
        <w:rPr>
          <w:rFonts w:hint="eastAsia" w:asciiTheme="minorEastAsia" w:hAnsiTheme="minorEastAsia"/>
          <w:color w:val="000000" w:themeColor="text1"/>
          <w:sz w:val="22"/>
        </w:rPr>
        <w:t>市町村は、法務局に対して地方税法第</w:t>
      </w:r>
      <w:r>
        <w:rPr>
          <w:rFonts w:hint="eastAsia" w:asciiTheme="minorEastAsia" w:hAnsiTheme="minorEastAsia"/>
          <w:color w:val="000000" w:themeColor="text1"/>
          <w:sz w:val="22"/>
        </w:rPr>
        <w:t>381</w:t>
      </w:r>
      <w:r>
        <w:rPr>
          <w:rFonts w:hint="eastAsia" w:asciiTheme="minorEastAsia" w:hAnsiTheme="minorEastAsia"/>
          <w:color w:val="000000" w:themeColor="text1"/>
          <w:sz w:val="22"/>
        </w:rPr>
        <w:t>条第７項の規定による地目の変更登記の申出（Ｐ</w:t>
      </w:r>
      <w:r>
        <w:rPr>
          <w:rFonts w:hint="eastAsia" w:asciiTheme="minorEastAsia" w:hAnsiTheme="minorEastAsia"/>
          <w:color w:val="000000" w:themeColor="text1"/>
          <w:sz w:val="22"/>
        </w:rPr>
        <w:t xml:space="preserve">.17 </w:t>
      </w:r>
      <w:r>
        <w:rPr>
          <w:rFonts w:hint="eastAsia" w:asciiTheme="minorEastAsia" w:hAnsiTheme="minorEastAsia"/>
          <w:color w:val="000000" w:themeColor="text1"/>
          <w:sz w:val="22"/>
        </w:rPr>
        <w:t>参考様式７）を行う。この際、（３）により農業委員会が準備した必要書類を添付する。</w:t>
      </w:r>
    </w:p>
    <w:p>
      <w:pPr>
        <w:pStyle w:val="0"/>
        <w:spacing w:line="400" w:lineRule="exact"/>
        <w:rPr>
          <w:rFonts w:hint="default" w:asciiTheme="minorEastAsia" w:hAnsiTheme="minorEastAsia"/>
          <w:color w:val="000000" w:themeColor="text1"/>
          <w:sz w:val="22"/>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-99060</wp:posOffset>
                </wp:positionH>
                <wp:positionV relativeFrom="paragraph">
                  <wp:posOffset>231775</wp:posOffset>
                </wp:positionV>
                <wp:extent cx="5699760" cy="3952875"/>
                <wp:effectExtent l="635" t="635" r="29845" b="10795"/>
                <wp:wrapNone/>
                <wp:docPr id="1034" name="正方形/長方形 4"/>
                <a:graphic xmlns:a="http://schemas.openxmlformats.org/drawingml/2006/main">
                  <a:graphicData uri="http://schemas.microsoft.com/office/word/2010/wordprocessingShape">
                    <wps:wsp>
                      <wps:cNvPr id="1034" name="正方形/長方形 4"/>
                      <wps:cNvSpPr/>
                      <wps:spPr>
                        <a:xfrm>
                          <a:off x="0" y="0"/>
                          <a:ext cx="5699760" cy="39528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 style="mso-wrap-distance-right:9pt;mso-wrap-distance-bottom:0pt;margin-top:18.25pt;mso-position-vertical-relative:text;mso-position-horizontal-relative:text;position:absolute;height:311.25pt;mso-wrap-distance-top:0pt;width:448.8pt;mso-wrap-distance-left:9pt;margin-left:-7.8pt;z-index:5;" o:spid="_x0000_s1034" o:allowincell="t" o:allowoverlap="t" filled="f" stroked="t" strokecolor="#000000 [3213]" strokeweight="1pt" o:spt="1">
                <v:fill/>
                <v:stroke linestyle="single" miterlimit="8" endcap="flat" dashstyle="dash" filltype="solid"/>
                <v:textbox style="layout-flow:horizontal;"/>
                <v:imagedata o:title=""/>
                <w10:wrap type="none" anchorx="text" anchory="text"/>
              </v:rect>
            </w:pict>
          </mc:Fallback>
        </mc:AlternateContent>
      </w:r>
    </w:p>
    <w:p>
      <w:pPr>
        <w:pStyle w:val="0"/>
        <w:spacing w:line="400" w:lineRule="exact"/>
        <w:ind w:left="141" w:hanging="141" w:hangingChars="64"/>
        <w:rPr>
          <w:rFonts w:hint="default" w:asciiTheme="minorEastAsia" w:hAnsiTheme="minorEastAsia"/>
          <w:color w:val="000000" w:themeColor="text1"/>
          <w:sz w:val="22"/>
        </w:rPr>
      </w:pPr>
      <w:r>
        <w:rPr>
          <w:rFonts w:hint="eastAsia" w:asciiTheme="minorEastAsia" w:hAnsiTheme="minorEastAsia"/>
          <w:color w:val="000000" w:themeColor="text1"/>
          <w:sz w:val="22"/>
        </w:rPr>
        <w:t>【参考】地方税法第</w:t>
      </w:r>
      <w:r>
        <w:rPr>
          <w:rFonts w:hint="eastAsia" w:asciiTheme="minorEastAsia" w:hAnsiTheme="minorEastAsia"/>
          <w:color w:val="000000" w:themeColor="text1"/>
          <w:sz w:val="22"/>
        </w:rPr>
        <w:t>381</w:t>
      </w:r>
      <w:r>
        <w:rPr>
          <w:rFonts w:hint="eastAsia" w:asciiTheme="minorEastAsia" w:hAnsiTheme="minorEastAsia"/>
          <w:color w:val="000000" w:themeColor="text1"/>
          <w:sz w:val="22"/>
        </w:rPr>
        <w:t>条第７項に基づく「地目その他登記されている事項が事実と相違するため課税上支障があると認められる場合」と判断する際の整理（Ａ町の場合）</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固定資産税課税部局では現況地目による課税を基本としているが、管内すべての土地の現況を毎年確実に把握することは困難であり、下記のような事例が生じていた。</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①</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登記地目：田　　課税地目：原野　　現況：山林</w:t>
      </w:r>
    </w:p>
    <w:p>
      <w:pPr>
        <w:pStyle w:val="0"/>
        <w:spacing w:line="400" w:lineRule="exact"/>
        <w:ind w:left="565" w:hanging="565" w:hangingChars="257"/>
        <w:rPr>
          <w:rFonts w:hint="default" w:asciiTheme="minorEastAsia" w:hAnsiTheme="minorEastAsia"/>
          <w:color w:val="000000" w:themeColor="text1"/>
          <w:sz w:val="22"/>
        </w:rPr>
      </w:pPr>
      <w:r>
        <w:rPr>
          <w:rFonts w:hint="eastAsia" w:asciiTheme="minorEastAsia" w:hAnsiTheme="minorEastAsia"/>
          <w:color w:val="000000" w:themeColor="text1"/>
          <w:sz w:val="22"/>
        </w:rPr>
        <w:t>　　→農地が原野化したときに現況を把握したが、その後に山林化した現況を把握しておらず課税地目と現況地目が乖離していた。</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②</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登記地目：田　　課税地目：山林　　現況：山林</w:t>
      </w:r>
    </w:p>
    <w:p>
      <w:pPr>
        <w:pStyle w:val="0"/>
        <w:spacing w:line="400" w:lineRule="exact"/>
        <w:ind w:left="565" w:hanging="565" w:hangingChars="257"/>
        <w:rPr>
          <w:rFonts w:hint="default" w:asciiTheme="minorEastAsia" w:hAnsiTheme="minorEastAsia"/>
          <w:color w:val="000000" w:themeColor="text1"/>
          <w:sz w:val="22"/>
        </w:rPr>
      </w:pPr>
      <w:r>
        <w:rPr>
          <w:rFonts w:hint="eastAsia" w:asciiTheme="minorEastAsia" w:hAnsiTheme="minorEastAsia"/>
          <w:color w:val="000000" w:themeColor="text1"/>
          <w:sz w:val="22"/>
        </w:rPr>
        <w:t>　　→現況地目による課税が原則である旨納税通知書に記載しているが、土地所有者から登記地目と課税地目が相違していることについて説明を求められることも少なくないため事務の負担となっている。</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地方税法第</w:t>
      </w:r>
      <w:r>
        <w:rPr>
          <w:rFonts w:hint="eastAsia" w:asciiTheme="minorEastAsia" w:hAnsiTheme="minorEastAsia"/>
          <w:color w:val="000000" w:themeColor="text1"/>
          <w:sz w:val="22"/>
        </w:rPr>
        <w:t>381</w:t>
      </w:r>
      <w:r>
        <w:rPr>
          <w:rFonts w:hint="eastAsia" w:asciiTheme="minorEastAsia" w:hAnsiTheme="minorEastAsia"/>
          <w:color w:val="000000" w:themeColor="text1"/>
          <w:sz w:val="22"/>
        </w:rPr>
        <w:t>条第７項の規定に基づき市町村長の職権による登記の修正を行うことで、上記①、②のような登記地目と現況地目および課税地目の乖離が是正され、固定資産税の適正な課税につながる。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default" w:asciiTheme="minorEastAsia" w:hAnsiTheme="minorEastAsia"/>
          <w:color w:val="000000" w:themeColor="text1"/>
          <w:sz w:val="22"/>
        </w:rPr>
        <w:br w:type="page"/>
      </w: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b w:val="1"/>
          <w:color w:val="000000" w:themeColor="text1"/>
          <w:sz w:val="22"/>
          <w:bdr w:val="single" w:color="auto" w:sz="4" w:space="0"/>
        </w:rPr>
        <w:t>Ⅴ</w:t>
      </w:r>
      <w:r>
        <w:rPr>
          <w:rFonts w:hint="default" w:asciiTheme="majorEastAsia" w:hAnsiTheme="majorEastAsia" w:eastAsiaTheme="majorEastAsia"/>
          <w:b w:val="1"/>
          <w:color w:val="000000" w:themeColor="text1"/>
          <w:sz w:val="22"/>
          <w:bdr w:val="single" w:color="auto" w:sz="4" w:space="0"/>
        </w:rPr>
        <w:t>　</w:t>
      </w:r>
      <w:r>
        <w:rPr>
          <w:rFonts w:hint="eastAsia" w:asciiTheme="majorEastAsia" w:hAnsiTheme="majorEastAsia" w:eastAsiaTheme="majorEastAsia"/>
          <w:b w:val="1"/>
          <w:color w:val="000000" w:themeColor="text1"/>
          <w:sz w:val="22"/>
          <w:bdr w:val="single" w:color="auto" w:sz="4" w:space="0"/>
        </w:rPr>
        <w:t>非農地判断と各法令との関係</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１．農業振興地域の整備に関する法律（農振法）</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（１）非農地判断は、現況が農地であるか否かを判断するものであり、対象の土地が農用地区域内であるか否かに関わらず行う。</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（２）農用地区域内で非農地判断された土地が農振法第</w:t>
      </w:r>
      <w:r>
        <w:rPr>
          <w:rFonts w:hint="eastAsia" w:asciiTheme="minorEastAsia" w:hAnsiTheme="minorEastAsia"/>
          <w:color w:val="000000" w:themeColor="text1"/>
          <w:sz w:val="22"/>
        </w:rPr>
        <w:t>10</w:t>
      </w:r>
      <w:r>
        <w:rPr>
          <w:rFonts w:hint="eastAsia" w:asciiTheme="minorEastAsia" w:hAnsiTheme="minorEastAsia"/>
          <w:color w:val="000000" w:themeColor="text1"/>
          <w:sz w:val="22"/>
        </w:rPr>
        <w:t>条第３項各号の要件に該当しない場合は、農用地区域からの除外が可能である。この場合であっても、当該土地が開発されれば周辺の優良農地の保全や農業水利上悪影響を及ぼすおそれがある場合は、農用地区域に残置することが適当である。</w:t>
      </w:r>
    </w:p>
    <w:p>
      <w:pPr>
        <w:pStyle w:val="0"/>
        <w:spacing w:line="400" w:lineRule="exact"/>
        <w:ind w:left="424" w:leftChars="202" w:firstLine="282" w:firstLineChars="128"/>
        <w:rPr>
          <w:rFonts w:hint="default" w:asciiTheme="minorEastAsia" w:hAnsiTheme="minorEastAsia"/>
          <w:color w:val="000000" w:themeColor="text1"/>
          <w:sz w:val="22"/>
        </w:rPr>
      </w:pPr>
      <w:r>
        <w:rPr>
          <w:rFonts w:hint="eastAsia" w:asciiTheme="minorEastAsia" w:hAnsiTheme="minorEastAsia"/>
          <w:color w:val="000000" w:themeColor="text1"/>
          <w:sz w:val="22"/>
        </w:rPr>
        <w:t>一方、非農地判断を行った土地が農振法第</w:t>
      </w:r>
      <w:r>
        <w:rPr>
          <w:rFonts w:hint="eastAsia" w:asciiTheme="minorEastAsia" w:hAnsiTheme="minorEastAsia"/>
          <w:color w:val="000000" w:themeColor="text1"/>
          <w:sz w:val="22"/>
        </w:rPr>
        <w:t>10</w:t>
      </w:r>
      <w:r>
        <w:rPr>
          <w:rFonts w:hint="eastAsia" w:asciiTheme="minorEastAsia" w:hAnsiTheme="minorEastAsia"/>
          <w:color w:val="000000" w:themeColor="text1"/>
          <w:sz w:val="22"/>
        </w:rPr>
        <w:t>条第３項各号の要件に該当する場合は引き続き農用地区域に残置することとなるが、当該土地について、具体的な開発目的があり農用地区域から除外する必要がある場合は、農振法第</w:t>
      </w:r>
      <w:r>
        <w:rPr>
          <w:rFonts w:hint="eastAsia" w:asciiTheme="minorEastAsia" w:hAnsiTheme="minorEastAsia"/>
          <w:color w:val="000000" w:themeColor="text1"/>
          <w:sz w:val="22"/>
        </w:rPr>
        <w:t>13</w:t>
      </w:r>
      <w:r>
        <w:rPr>
          <w:rFonts w:hint="eastAsia" w:asciiTheme="minorEastAsia" w:hAnsiTheme="minorEastAsia"/>
          <w:color w:val="000000" w:themeColor="text1"/>
          <w:sz w:val="22"/>
        </w:rPr>
        <w:t>条第２項各号の要件に照らして判断することとなる。この場合、当該土地が農地に該当しないと判断されていることに鑑み、効率的かつ迅速に行うことが適当とされている。</w:t>
      </w:r>
    </w:p>
    <w:p>
      <w:pPr>
        <w:pStyle w:val="0"/>
        <w:spacing w:line="400" w:lineRule="exact"/>
        <w:ind w:left="425" w:hanging="425" w:hangingChars="193"/>
        <w:rPr>
          <w:rFonts w:hint="default" w:asciiTheme="minorEastAsia" w:hAnsiTheme="minorEastAsia"/>
          <w:color w:val="000000" w:themeColor="text1"/>
          <w:sz w:val="22"/>
        </w:rPr>
      </w:pPr>
      <w:r>
        <w:rPr>
          <w:rFonts w:hint="eastAsia" w:asciiTheme="minorEastAsia" w:hAnsiTheme="minorEastAsia"/>
          <w:color w:val="000000" w:themeColor="text1"/>
          <w:sz w:val="22"/>
        </w:rPr>
        <w:t>（３）なお、非農地判断された土地であっても当該土地が農用地区域内にある場合は、農振法第</w:t>
      </w:r>
      <w:r>
        <w:rPr>
          <w:rFonts w:hint="eastAsia" w:asciiTheme="minorEastAsia" w:hAnsiTheme="minorEastAsia"/>
          <w:color w:val="000000" w:themeColor="text1"/>
          <w:sz w:val="22"/>
        </w:rPr>
        <w:t>15</w:t>
      </w:r>
      <w:r>
        <w:rPr>
          <w:rFonts w:hint="eastAsia" w:asciiTheme="minorEastAsia" w:hAnsiTheme="minorEastAsia"/>
          <w:color w:val="000000" w:themeColor="text1"/>
          <w:sz w:val="22"/>
        </w:rPr>
        <w:t>条の２に基づく開発行為の制限の対象となることから、非農地判断されたことをもって開発行為が可能となるものではないということに留意が必要である。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２．土地改良法</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非農地判断された土地が土地改良区の受益地である場合には、土地改良区への届出と決済金の納付が必要となる場合がある。土地改良区により届出書類や決済金の取扱いが異なるため、土地の所有者は関係する土地改良区に確認の上、手続きを行う必要があることについて、土地所有者に周知す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３．不動産登記法および登録免許税法</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農業委員会から非農地である旨通知を受けた土地の所有者は、土地の地目変更登記を行う必要があるが、地目変更手続きには登録免許税はかからないこと、登記の申請については、所有者自ら行う方法以外に、土地家屋調査士に依頼する方法もあることについて、土地所有者に周知する。</w:t>
      </w:r>
    </w:p>
    <w:p>
      <w:pPr>
        <w:pStyle w:val="0"/>
        <w:spacing w:line="400" w:lineRule="exact"/>
        <w:rPr>
          <w:rFonts w:hint="default" w:asciiTheme="minorEastAsia" w:hAnsiTheme="minorEastAsia"/>
          <w:color w:val="000000" w:themeColor="text1"/>
          <w:sz w:val="22"/>
        </w:rPr>
      </w:pPr>
    </w:p>
    <w:p>
      <w:pPr>
        <w:pStyle w:val="0"/>
        <w:spacing w:line="400" w:lineRule="exact"/>
        <w:rPr>
          <w:rFonts w:hint="default" w:asciiTheme="minorEastAsia" w:hAnsiTheme="minorEastAsia"/>
          <w:color w:val="000000" w:themeColor="text1"/>
          <w:sz w:val="22"/>
        </w:rPr>
      </w:pPr>
      <w:r>
        <w:rPr>
          <w:rFonts w:hint="eastAsia" w:asciiTheme="majorEastAsia" w:hAnsiTheme="majorEastAsia" w:eastAsiaTheme="majorEastAsia"/>
          <w:color w:val="000000" w:themeColor="text1"/>
          <w:sz w:val="22"/>
        </w:rPr>
        <w:t>４．地方税法</w:t>
      </w:r>
    </w:p>
    <w:p>
      <w:pPr>
        <w:pStyle w:val="0"/>
        <w:spacing w:line="400" w:lineRule="exact"/>
        <w:rPr>
          <w:rFonts w:hint="default" w:asciiTheme="minorEastAsia" w:hAnsiTheme="minorEastAsia"/>
          <w:color w:val="000000" w:themeColor="text1"/>
          <w:sz w:val="22"/>
        </w:rPr>
      </w:pPr>
      <w:r>
        <w:rPr>
          <w:rFonts w:hint="eastAsia" w:asciiTheme="minorEastAsia" w:hAnsiTheme="minorEastAsia"/>
          <w:color w:val="000000" w:themeColor="text1"/>
          <w:sz w:val="22"/>
        </w:rPr>
        <w:t>　固定資産税の土地評価上の地目の認定は、現況の地目によるとされているため、原則として地目変更登記による固定資産税額への影響はないものと考えられる。</w:t>
      </w:r>
    </w:p>
    <w:p>
      <w:pPr>
        <w:pStyle w:val="0"/>
        <w:spacing w:line="400" w:lineRule="exact"/>
        <w:rPr>
          <w:rFonts w:hint="default" w:asciiTheme="minorEastAsia" w:hAnsiTheme="minorEastAsia"/>
          <w:color w:val="000000" w:themeColor="text1"/>
          <w:sz w:val="22"/>
        </w:rPr>
      </w:pPr>
    </w:p>
    <w:sectPr>
      <w:pgSz w:w="11906" w:h="16838"/>
      <w:pgMar w:top="1985" w:right="1701" w:bottom="1701" w:left="1701" w:header="851" w:footer="992" w:gutter="0"/>
      <w:pgNumType w:fmt="numberInDash"/>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ＤＦ特太ゴシック体">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customStyle="1">
    <w:name w:val="標準(太郎文書スタイル)"/>
    <w:next w:val="21"/>
    <w:link w:val="0"/>
    <w:uiPriority w:val="0"/>
    <w:pPr>
      <w:widowControl w:val="0"/>
      <w:overflowPunct w:val="0"/>
      <w:adjustRightInd w:val="0"/>
      <w:jc w:val="both"/>
      <w:textAlignment w:val="baseline"/>
    </w:pPr>
    <w:rPr>
      <w:rFonts w:ascii="Times New Roman" w:hAnsi="Times New Roman" w:eastAsia="ＭＳ 明朝"/>
      <w:color w:val="000000"/>
      <w:kern w:val="0"/>
    </w:rPr>
  </w:style>
  <w:style w:type="paragraph" w:styleId="22">
    <w:name w:val="Balloon Text"/>
    <w:basedOn w:val="0"/>
    <w:next w:val="22"/>
    <w:link w:val="23"/>
    <w:uiPriority w:val="0"/>
    <w:semiHidden/>
    <w:pPr>
      <w:suppressAutoHyphens w:val="1"/>
      <w:kinsoku w:val="0"/>
      <w:wordWrap w:val="0"/>
      <w:overflowPunct w:val="0"/>
      <w:autoSpaceDE w:val="0"/>
      <w:autoSpaceDN w:val="0"/>
      <w:adjustRightInd w:val="0"/>
      <w:jc w:val="left"/>
      <w:textAlignment w:val="baseline"/>
    </w:pPr>
    <w:rPr>
      <w:rFonts w:ascii="Arial" w:hAnsi="Arial" w:eastAsia="ＭＳ ゴシック"/>
      <w:kern w:val="0"/>
      <w:sz w:val="18"/>
    </w:rPr>
  </w:style>
  <w:style w:type="character" w:styleId="23" w:customStyle="1">
    <w:name w:val="吹き出し (文字)"/>
    <w:basedOn w:val="10"/>
    <w:next w:val="23"/>
    <w:link w:val="22"/>
    <w:uiPriority w:val="0"/>
    <w:rPr>
      <w:rFonts w:ascii="Arial" w:hAnsi="Arial" w:eastAsia="ＭＳ ゴシック"/>
      <w:kern w:val="0"/>
      <w:sz w:val="18"/>
    </w:rPr>
  </w:style>
  <w:style w:type="paragraph" w:styleId="24">
    <w:name w:val="List Paragraph"/>
    <w:basedOn w:val="0"/>
    <w:next w:val="24"/>
    <w:link w:val="0"/>
    <w:uiPriority w:val="0"/>
    <w:qFormat/>
    <w:pPr>
      <w:suppressAutoHyphens w:val="1"/>
      <w:kinsoku w:val="0"/>
      <w:wordWrap w:val="0"/>
      <w:overflowPunct w:val="0"/>
      <w:autoSpaceDE w:val="0"/>
      <w:autoSpaceDN w:val="0"/>
      <w:adjustRightInd w:val="0"/>
      <w:ind w:left="1762"/>
      <w:jc w:val="left"/>
      <w:textAlignment w:val="baseline"/>
    </w:pPr>
    <w:rPr>
      <w:rFonts w:ascii="Century" w:hAnsi="Century" w:eastAsia="ＭＳ ゴシック"/>
      <w:kern w:val="0"/>
      <w:sz w:val="22"/>
    </w:rPr>
  </w:style>
  <w:style w:type="paragraph" w:styleId="25">
    <w:name w:val="No Spacing"/>
    <w:next w:val="25"/>
    <w:link w:val="0"/>
    <w:uiPriority w:val="0"/>
    <w:qFormat/>
    <w:pPr>
      <w:widowControl w:val="0"/>
      <w:suppressAutoHyphens w:val="1"/>
      <w:kinsoku w:val="0"/>
      <w:wordWrap w:val="0"/>
      <w:overflowPunct w:val="0"/>
      <w:autoSpaceDE w:val="0"/>
      <w:autoSpaceDN w:val="0"/>
      <w:adjustRightInd w:val="0"/>
      <w:textAlignment w:val="baseline"/>
    </w:pPr>
    <w:rPr>
      <w:rFonts w:ascii="ＭＳ ゴシック" w:hAnsi="ＭＳ ゴシック" w:eastAsia="ＭＳ ゴシック"/>
      <w:kern w:val="0"/>
      <w:sz w:val="22"/>
    </w:rPr>
  </w:style>
  <w:style w:type="paragraph" w:styleId="26">
    <w:name w:val="Note Heading"/>
    <w:basedOn w:val="0"/>
    <w:next w:val="0"/>
    <w:link w:val="27"/>
    <w:uiPriority w:val="0"/>
    <w:pPr>
      <w:jc w:val="center"/>
    </w:pPr>
    <w:rPr>
      <w:rFonts w:ascii="Century" w:hAnsi="Century" w:eastAsia="ＭＳ 明朝"/>
    </w:rPr>
  </w:style>
  <w:style w:type="character" w:styleId="27" w:customStyle="1">
    <w:name w:val="記 (文字)"/>
    <w:basedOn w:val="10"/>
    <w:next w:val="27"/>
    <w:link w:val="26"/>
    <w:uiPriority w:val="0"/>
    <w:rPr>
      <w:rFonts w:ascii="Century" w:hAnsi="Century" w:eastAsia="ＭＳ 明朝"/>
    </w:rPr>
  </w:style>
  <w:style w:type="paragraph" w:styleId="28">
    <w:name w:val="Closing"/>
    <w:basedOn w:val="0"/>
    <w:next w:val="28"/>
    <w:link w:val="29"/>
    <w:uiPriority w:val="0"/>
    <w:pPr>
      <w:jc w:val="right"/>
    </w:pPr>
    <w:rPr>
      <w:rFonts w:ascii="Century" w:hAnsi="Century" w:eastAsia="ＭＳ 明朝"/>
    </w:rPr>
  </w:style>
  <w:style w:type="character" w:styleId="29" w:customStyle="1">
    <w:name w:val="結語 (文字)"/>
    <w:basedOn w:val="10"/>
    <w:next w:val="29"/>
    <w:link w:val="28"/>
    <w:uiPriority w:val="0"/>
    <w:rPr>
      <w:rFonts w:ascii="Century" w:hAnsi="Century" w:eastAsia="ＭＳ 明朝"/>
    </w:rPr>
  </w:style>
  <w:style w:type="paragraph" w:styleId="30">
    <w:name w:val="Revision"/>
    <w:next w:val="30"/>
    <w:link w:val="0"/>
    <w:uiPriority w:val="0"/>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rPr>
      <w:rFonts w:ascii="Times New Roman" w:hAnsi="Times New Roman"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Table Normal"/>
    <w:basedOn w:val="11"/>
    <w:next w:val="34"/>
    <w:link w:val="0"/>
    <w:uiPriority w:val="0"/>
    <w:pPr>
      <w:widowControl w:val="0"/>
      <w:autoSpaceDE w:val="0"/>
      <w:autoSpaceDN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35" w:customStyle="1">
    <w:name w:val="表 (格子)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jpg" /><Relationship Id="rId8" Type="http://schemas.openxmlformats.org/officeDocument/2006/relationships/image" Target="media/image2.emf" /><Relationship Id="rId9" Type="http://schemas.openxmlformats.org/officeDocument/2006/relationships/image" Target="media/image3.png" /><Relationship Id="rId10" Type="http://schemas.openxmlformats.org/officeDocument/2006/relationships/image" Target="media/image4.jpg" /><Relationship Id="rId11" Type="http://schemas.openxmlformats.org/officeDocument/2006/relationships/image" Target="media/image5.png"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11416</TotalTime>
  <Pages>14</Pages>
  <Words>35</Words>
  <Characters>6781</Characters>
  <Application>JUST Note</Application>
  <Lines>368</Lines>
  <Paragraphs>119</Paragraphs>
  <Company>Hewlett-Packard Company</Company>
  <CharactersWithSpaces>6881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ninaite16</dc:creator>
  <cp:lastModifiedBy>森田 恭平</cp:lastModifiedBy>
  <cp:lastPrinted>2022-02-28T08:18:00Z</cp:lastPrinted>
  <dcterms:created xsi:type="dcterms:W3CDTF">2021-06-15T07:26:00Z</dcterms:created>
  <dcterms:modified xsi:type="dcterms:W3CDTF">2025-07-12T06:44:06Z</dcterms:modified>
  <cp:revision>123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0x010100CD041694F114314E85D3D576CB3C6B44</vt:lpwstr>
  </property>
</Properties>
</file>