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68C" w:rsidRPr="0059568C" w:rsidRDefault="0059568C" w:rsidP="0063007D">
      <w:pPr>
        <w:widowControl/>
        <w:pBdr>
          <w:top w:val="single" w:sz="6" w:space="5" w:color="C1C1C1"/>
          <w:left w:val="single" w:sz="6" w:space="15" w:color="C1C1C1"/>
          <w:bottom w:val="single" w:sz="18" w:space="2" w:color="6FBF00"/>
          <w:right w:val="single" w:sz="6" w:space="0" w:color="C1C1C1"/>
        </w:pBdr>
        <w:spacing w:line="336" w:lineRule="atLeast"/>
        <w:ind w:firstLineChars="500" w:firstLine="1500"/>
        <w:jc w:val="left"/>
        <w:outlineLvl w:val="1"/>
        <w:rPr>
          <w:rFonts w:ascii="メイリオ" w:eastAsia="メイリオ" w:hAnsi="メイリオ" w:cs="メイリオ"/>
          <w:color w:val="282828"/>
          <w:kern w:val="0"/>
          <w:sz w:val="30"/>
          <w:szCs w:val="30"/>
        </w:rPr>
      </w:pPr>
      <w:bookmarkStart w:id="0" w:name="_GoBack"/>
      <w:bookmarkEnd w:id="0"/>
      <w:r w:rsidRPr="0059568C">
        <w:rPr>
          <w:rFonts w:ascii="メイリオ" w:eastAsia="メイリオ" w:hAnsi="メイリオ" w:cs="メイリオ" w:hint="eastAsia"/>
          <w:color w:val="282828"/>
          <w:kern w:val="0"/>
          <w:sz w:val="30"/>
          <w:szCs w:val="30"/>
        </w:rPr>
        <w:t>公共工事を受注される建設業者の皆様へお知らせ</w:t>
      </w:r>
    </w:p>
    <w:p w:rsidR="0059568C" w:rsidRPr="0059568C" w:rsidRDefault="0059568C" w:rsidP="000232A4">
      <w:pPr>
        <w:widowControl/>
        <w:spacing w:before="225" w:line="0" w:lineRule="atLeast"/>
        <w:ind w:left="482"/>
        <w:jc w:val="left"/>
        <w:outlineLvl w:val="3"/>
        <w:rPr>
          <w:rFonts w:ascii="メイリオ" w:eastAsia="メイリオ" w:hAnsi="メイリオ" w:cs="メイリオ"/>
          <w:color w:val="54A800"/>
          <w:kern w:val="0"/>
          <w:sz w:val="24"/>
          <w:szCs w:val="24"/>
        </w:rPr>
      </w:pPr>
      <w:r w:rsidRPr="0059568C">
        <w:rPr>
          <w:rFonts w:ascii="メイリオ" w:eastAsia="メイリオ" w:hAnsi="メイリオ" w:cs="メイリオ" w:hint="eastAsia"/>
          <w:color w:val="54A800"/>
          <w:kern w:val="0"/>
          <w:sz w:val="24"/>
          <w:szCs w:val="24"/>
        </w:rPr>
        <w:t xml:space="preserve">　平成２６年６月４日に公布された「建設業法等の一部を改正する法律」により、公共工事の入札及び契約の適正化の促進に関する法律の一部が改正されました。</w:t>
      </w:r>
      <w:r w:rsidR="000232A4">
        <w:rPr>
          <w:rFonts w:ascii="メイリオ" w:eastAsia="メイリオ" w:hAnsi="メイリオ" w:cs="メイリオ" w:hint="eastAsia"/>
          <w:color w:val="54A800"/>
          <w:kern w:val="0"/>
          <w:sz w:val="24"/>
          <w:szCs w:val="24"/>
        </w:rPr>
        <w:t>邑南</w:t>
      </w:r>
      <w:r w:rsidRPr="0059568C">
        <w:rPr>
          <w:rFonts w:ascii="メイリオ" w:eastAsia="メイリオ" w:hAnsi="メイリオ" w:cs="メイリオ" w:hint="eastAsia"/>
          <w:color w:val="54A800"/>
          <w:kern w:val="0"/>
          <w:sz w:val="24"/>
          <w:szCs w:val="24"/>
        </w:rPr>
        <w:t>町では平成２７年４月１日より、下記のとおり取り扱うこととなりますのでお知らせします。</w:t>
      </w:r>
    </w:p>
    <w:p w:rsidR="000232A4" w:rsidRPr="000232A4" w:rsidRDefault="000232A4" w:rsidP="0059568C">
      <w:pPr>
        <w:widowControl/>
        <w:spacing w:before="150" w:line="384" w:lineRule="atLeast"/>
        <w:ind w:left="555" w:right="150"/>
        <w:jc w:val="left"/>
        <w:rPr>
          <w:rFonts w:ascii="HG丸ｺﾞｼｯｸM-PRO" w:eastAsia="HG丸ｺﾞｼｯｸM-PRO" w:hAnsi="HG丸ｺﾞｼｯｸM-PRO" w:cs="メイリオ"/>
          <w:b/>
          <w:color w:val="0070C0"/>
          <w:kern w:val="0"/>
          <w:sz w:val="28"/>
          <w:szCs w:val="28"/>
        </w:rPr>
      </w:pPr>
      <w:r w:rsidRPr="000232A4">
        <w:rPr>
          <w:rFonts w:ascii="HG丸ｺﾞｼｯｸM-PRO" w:eastAsia="HG丸ｺﾞｼｯｸM-PRO" w:hAnsi="HG丸ｺﾞｼｯｸM-PRO" w:cs="メイリオ"/>
          <w:b/>
          <w:color w:val="0070C0"/>
          <w:kern w:val="0"/>
          <w:sz w:val="28"/>
          <w:szCs w:val="28"/>
        </w:rPr>
        <w:t>工事費内訳書の提出</w:t>
      </w:r>
    </w:p>
    <w:p w:rsidR="0059568C" w:rsidRPr="0059568C" w:rsidRDefault="0059568C" w:rsidP="000232A4">
      <w:pPr>
        <w:widowControl/>
        <w:spacing w:before="150" w:line="0" w:lineRule="atLeast"/>
        <w:ind w:left="556" w:right="147"/>
        <w:jc w:val="left"/>
        <w:rPr>
          <w:rFonts w:ascii="メイリオ" w:eastAsia="メイリオ" w:hAnsi="メイリオ" w:cs="メイリオ"/>
          <w:color w:val="232323"/>
          <w:kern w:val="0"/>
          <w:sz w:val="19"/>
          <w:szCs w:val="19"/>
        </w:rPr>
      </w:pPr>
      <w:r w:rsidRPr="0059568C">
        <w:rPr>
          <w:rFonts w:ascii="メイリオ" w:eastAsia="メイリオ" w:hAnsi="メイリオ" w:cs="メイリオ" w:hint="eastAsia"/>
          <w:color w:val="FF0000"/>
          <w:kern w:val="0"/>
          <w:sz w:val="19"/>
          <w:szCs w:val="19"/>
        </w:rPr>
        <w:t>すべての競争入札において、入札の際に入札金額の内訳書の提出が必要となります。</w:t>
      </w:r>
    </w:p>
    <w:p w:rsidR="000232A4" w:rsidRDefault="0059568C" w:rsidP="000232A4">
      <w:pPr>
        <w:widowControl/>
        <w:spacing w:before="150" w:line="0" w:lineRule="atLeast"/>
        <w:ind w:left="556" w:right="147"/>
        <w:jc w:val="left"/>
        <w:rPr>
          <w:rFonts w:ascii="メイリオ" w:eastAsia="メイリオ" w:hAnsi="メイリオ" w:cs="メイリオ"/>
          <w:color w:val="232323"/>
          <w:kern w:val="0"/>
          <w:sz w:val="19"/>
          <w:szCs w:val="19"/>
        </w:rPr>
      </w:pPr>
      <w:r w:rsidRPr="0059568C">
        <w:rPr>
          <w:rFonts w:ascii="メイリオ" w:eastAsia="メイリオ" w:hAnsi="メイリオ" w:cs="メイリオ" w:hint="eastAsia"/>
          <w:color w:val="232323"/>
          <w:kern w:val="0"/>
          <w:sz w:val="19"/>
          <w:szCs w:val="19"/>
        </w:rPr>
        <w:t>◎対象工事：競争入札により行うすべての公共工事</w:t>
      </w:r>
    </w:p>
    <w:p w:rsidR="000232A4" w:rsidRDefault="0059568C" w:rsidP="000232A4">
      <w:pPr>
        <w:widowControl/>
        <w:spacing w:before="150" w:line="0" w:lineRule="atLeast"/>
        <w:ind w:left="556" w:right="147"/>
        <w:jc w:val="left"/>
        <w:rPr>
          <w:rFonts w:ascii="メイリオ" w:eastAsia="メイリオ" w:hAnsi="メイリオ" w:cs="メイリオ"/>
          <w:color w:val="232323"/>
          <w:kern w:val="0"/>
          <w:sz w:val="19"/>
          <w:szCs w:val="19"/>
        </w:rPr>
      </w:pPr>
      <w:r w:rsidRPr="0059568C">
        <w:rPr>
          <w:rFonts w:ascii="メイリオ" w:eastAsia="メイリオ" w:hAnsi="メイリオ" w:cs="メイリオ" w:hint="eastAsia"/>
          <w:color w:val="232323"/>
          <w:kern w:val="0"/>
          <w:sz w:val="19"/>
          <w:szCs w:val="19"/>
        </w:rPr>
        <w:t>◎適用時期：平成２７年４月１日以降に指名通知・公告する工事から適用</w:t>
      </w:r>
    </w:p>
    <w:p w:rsidR="000232A4" w:rsidRDefault="0059568C" w:rsidP="000232A4">
      <w:pPr>
        <w:widowControl/>
        <w:spacing w:before="150" w:line="0" w:lineRule="atLeast"/>
        <w:ind w:left="556" w:right="147"/>
        <w:jc w:val="left"/>
        <w:rPr>
          <w:rFonts w:ascii="メイリオ" w:eastAsia="メイリオ" w:hAnsi="メイリオ" w:cs="メイリオ"/>
          <w:color w:val="232323"/>
          <w:kern w:val="0"/>
          <w:sz w:val="19"/>
          <w:szCs w:val="19"/>
        </w:rPr>
      </w:pPr>
      <w:r w:rsidRPr="0059568C">
        <w:rPr>
          <w:rFonts w:ascii="メイリオ" w:eastAsia="メイリオ" w:hAnsi="メイリオ" w:cs="メイリオ" w:hint="eastAsia"/>
          <w:color w:val="232323"/>
          <w:kern w:val="0"/>
          <w:sz w:val="19"/>
          <w:szCs w:val="19"/>
        </w:rPr>
        <w:t>◎提出方法：電子入札により提出</w:t>
      </w:r>
    </w:p>
    <w:p w:rsidR="0059568C" w:rsidRDefault="009F30FB" w:rsidP="000232A4">
      <w:pPr>
        <w:widowControl/>
        <w:spacing w:before="150" w:line="0" w:lineRule="atLeast"/>
        <w:ind w:left="556" w:right="147"/>
        <w:jc w:val="left"/>
        <w:rPr>
          <w:rFonts w:ascii="メイリオ" w:eastAsia="メイリオ" w:hAnsi="メイリオ" w:cs="メイリオ"/>
          <w:color w:val="232323"/>
          <w:kern w:val="0"/>
          <w:sz w:val="24"/>
          <w:szCs w:val="24"/>
        </w:rPr>
      </w:pPr>
      <w:hyperlink r:id="rId4" w:history="1">
        <w:r w:rsidR="0059568C" w:rsidRPr="00DF0A8D">
          <w:rPr>
            <w:rStyle w:val="a5"/>
            <w:rFonts w:ascii="HG丸ｺﾞｼｯｸM-PRO" w:eastAsia="HG丸ｺﾞｼｯｸM-PRO" w:hAnsi="HG丸ｺﾞｼｯｸM-PRO" w:cs="メイリオ" w:hint="eastAsia"/>
            <w:kern w:val="0"/>
            <w:sz w:val="24"/>
            <w:szCs w:val="24"/>
          </w:rPr>
          <w:t>内訳書について</w:t>
        </w:r>
        <w:r w:rsidR="000232A4" w:rsidRPr="00DF0A8D">
          <w:rPr>
            <w:rStyle w:val="a5"/>
            <w:rFonts w:ascii="HG丸ｺﾞｼｯｸM-PRO" w:eastAsia="HG丸ｺﾞｼｯｸM-PRO" w:hAnsi="HG丸ｺﾞｼｯｸM-PRO" w:cs="メイリオ" w:hint="eastAsia"/>
            <w:kern w:val="0"/>
            <w:sz w:val="24"/>
            <w:szCs w:val="24"/>
          </w:rPr>
          <w:t xml:space="preserve">　</w:t>
        </w:r>
        <w:r w:rsidR="0059568C" w:rsidRPr="00DF0A8D">
          <w:rPr>
            <w:rStyle w:val="a5"/>
            <w:rFonts w:ascii="HG丸ｺﾞｼｯｸM-PRO" w:eastAsia="HG丸ｺﾞｼｯｸM-PRO" w:hAnsi="HG丸ｺﾞｼｯｸM-PRO" w:cs="メイリオ" w:hint="eastAsia"/>
            <w:kern w:val="0"/>
            <w:sz w:val="24"/>
            <w:szCs w:val="24"/>
          </w:rPr>
          <w:t>参考例</w:t>
        </w:r>
      </w:hyperlink>
    </w:p>
    <w:p w:rsidR="000232A4" w:rsidRDefault="000232A4" w:rsidP="000232A4">
      <w:pPr>
        <w:widowControl/>
        <w:spacing w:before="150" w:line="0" w:lineRule="atLeast"/>
        <w:ind w:left="556" w:right="147"/>
        <w:jc w:val="left"/>
        <w:rPr>
          <w:rFonts w:ascii="メイリオ" w:eastAsia="メイリオ" w:hAnsi="メイリオ" w:cs="メイリオ"/>
          <w:color w:val="232323"/>
          <w:kern w:val="0"/>
          <w:sz w:val="24"/>
          <w:szCs w:val="24"/>
        </w:rPr>
      </w:pPr>
    </w:p>
    <w:p w:rsidR="000232A4" w:rsidRPr="000232A4" w:rsidRDefault="0059568C" w:rsidP="000232A4">
      <w:pPr>
        <w:widowControl/>
        <w:spacing w:line="0" w:lineRule="atLeast"/>
        <w:ind w:left="316" w:firstLine="210"/>
        <w:jc w:val="left"/>
        <w:rPr>
          <w:rFonts w:ascii="HG丸ｺﾞｼｯｸM-PRO" w:eastAsia="HG丸ｺﾞｼｯｸM-PRO" w:hAnsi="HG丸ｺﾞｼｯｸM-PRO" w:cs="ＭＳ Ｐゴシック"/>
          <w:b/>
          <w:color w:val="0070C0"/>
          <w:kern w:val="0"/>
          <w:sz w:val="28"/>
          <w:szCs w:val="28"/>
        </w:rPr>
      </w:pPr>
      <w:r w:rsidRPr="0059568C">
        <w:rPr>
          <w:rFonts w:ascii="HG丸ｺﾞｼｯｸM-PRO" w:eastAsia="HG丸ｺﾞｼｯｸM-PRO" w:hAnsi="HG丸ｺﾞｼｯｸM-PRO" w:cs="ＭＳ Ｐゴシック"/>
          <w:b/>
          <w:color w:val="0070C0"/>
          <w:kern w:val="0"/>
          <w:sz w:val="28"/>
          <w:szCs w:val="28"/>
        </w:rPr>
        <w:t> </w:t>
      </w:r>
      <w:r w:rsidR="000232A4" w:rsidRPr="000232A4">
        <w:rPr>
          <w:rFonts w:ascii="HG丸ｺﾞｼｯｸM-PRO" w:eastAsia="HG丸ｺﾞｼｯｸM-PRO" w:hAnsi="HG丸ｺﾞｼｯｸM-PRO" w:cs="ＭＳ Ｐゴシック" w:hint="eastAsia"/>
          <w:b/>
          <w:color w:val="0070C0"/>
          <w:kern w:val="0"/>
          <w:sz w:val="28"/>
          <w:szCs w:val="28"/>
        </w:rPr>
        <w:t>施工体制台帳(写し)及び施工体系図等の提出</w:t>
      </w:r>
    </w:p>
    <w:p w:rsidR="0059568C" w:rsidRPr="0059568C" w:rsidRDefault="0059568C" w:rsidP="000232A4">
      <w:pPr>
        <w:widowControl/>
        <w:spacing w:before="150" w:line="0" w:lineRule="atLeast"/>
        <w:ind w:left="556" w:right="147"/>
        <w:jc w:val="left"/>
        <w:rPr>
          <w:rFonts w:ascii="メイリオ" w:eastAsia="メイリオ" w:hAnsi="メイリオ" w:cs="メイリオ"/>
          <w:color w:val="232323"/>
          <w:kern w:val="0"/>
          <w:sz w:val="19"/>
          <w:szCs w:val="19"/>
        </w:rPr>
      </w:pPr>
      <w:r w:rsidRPr="0059568C">
        <w:rPr>
          <w:rFonts w:ascii="メイリオ" w:eastAsia="メイリオ" w:hAnsi="メイリオ" w:cs="メイリオ" w:hint="eastAsia"/>
          <w:color w:val="232323"/>
          <w:kern w:val="0"/>
          <w:sz w:val="19"/>
          <w:szCs w:val="19"/>
        </w:rPr>
        <w:t>改正に伴い、公共工事を施工するために下請契約を締結する場合には、下請金額に関わらず施工体制台帳の作成が義務付けられることとなり、発注者への提出範囲についても、下請契約を締結するすべての公共工事に拡大されました。</w:t>
      </w:r>
      <w:r>
        <w:rPr>
          <w:rFonts w:ascii="メイリオ" w:eastAsia="メイリオ" w:hAnsi="メイリオ" w:cs="メイリオ" w:hint="eastAsia"/>
          <w:color w:val="FF0000"/>
          <w:kern w:val="0"/>
          <w:sz w:val="19"/>
          <w:szCs w:val="19"/>
        </w:rPr>
        <w:t>邑南町</w:t>
      </w:r>
      <w:r w:rsidRPr="0059568C">
        <w:rPr>
          <w:rFonts w:ascii="メイリオ" w:eastAsia="メイリオ" w:hAnsi="メイリオ" w:cs="メイリオ" w:hint="eastAsia"/>
          <w:color w:val="FF0000"/>
          <w:kern w:val="0"/>
          <w:sz w:val="19"/>
          <w:szCs w:val="19"/>
        </w:rPr>
        <w:t>では下請契約を締結するすべての工事に対し、施工体制台帳の写しの提出と合わせて施工体系図(書式、下請契約書又は注文書の写し等添付書類は</w:t>
      </w:r>
      <w:r>
        <w:rPr>
          <w:rFonts w:ascii="メイリオ" w:eastAsia="メイリオ" w:hAnsi="メイリオ" w:cs="メイリオ" w:hint="eastAsia"/>
          <w:color w:val="FF0000"/>
          <w:kern w:val="0"/>
          <w:sz w:val="19"/>
          <w:szCs w:val="19"/>
        </w:rPr>
        <w:t>島根</w:t>
      </w:r>
      <w:r w:rsidRPr="0059568C">
        <w:rPr>
          <w:rFonts w:ascii="メイリオ" w:eastAsia="メイリオ" w:hAnsi="メイリオ" w:cs="メイリオ" w:hint="eastAsia"/>
          <w:color w:val="FF0000"/>
          <w:kern w:val="0"/>
          <w:sz w:val="19"/>
          <w:szCs w:val="19"/>
        </w:rPr>
        <w:t>県に準じる）の提出が必要となります。</w:t>
      </w:r>
    </w:p>
    <w:p w:rsidR="000232A4" w:rsidRDefault="0063007D" w:rsidP="000232A4">
      <w:pPr>
        <w:widowControl/>
        <w:spacing w:before="150" w:line="0" w:lineRule="atLeast"/>
        <w:ind w:left="556" w:right="147"/>
        <w:jc w:val="left"/>
        <w:rPr>
          <w:rFonts w:ascii="メイリオ" w:eastAsia="メイリオ" w:hAnsi="メイリオ" w:cs="メイリオ"/>
          <w:color w:val="232323"/>
          <w:kern w:val="0"/>
          <w:sz w:val="19"/>
          <w:szCs w:val="19"/>
        </w:rPr>
      </w:pPr>
      <w:r>
        <w:rPr>
          <w:rFonts w:ascii="メイリオ" w:eastAsia="メイリオ" w:hAnsi="メイリオ" w:cs="メイリオ" w:hint="eastAsia"/>
          <w:noProof/>
          <w:color w:val="232323"/>
          <w:kern w:val="0"/>
          <w:sz w:val="19"/>
          <w:szCs w:val="19"/>
        </w:rPr>
        <w:drawing>
          <wp:anchor distT="0" distB="0" distL="114300" distR="114300" simplePos="0" relativeHeight="251659264" behindDoc="0" locked="0" layoutInCell="1" allowOverlap="1" wp14:anchorId="100B1E5C" wp14:editId="15986F44">
            <wp:simplePos x="0" y="0"/>
            <wp:positionH relativeFrom="column">
              <wp:posOffset>4467225</wp:posOffset>
            </wp:positionH>
            <wp:positionV relativeFrom="paragraph">
              <wp:posOffset>12700</wp:posOffset>
            </wp:positionV>
            <wp:extent cx="1429967" cy="1713865"/>
            <wp:effectExtent l="0" t="0" r="0"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土木作業員③.jpg"/>
                    <pic:cNvPicPr/>
                  </pic:nvPicPr>
                  <pic:blipFill>
                    <a:blip r:embed="rId5">
                      <a:extLst>
                        <a:ext uri="{28A0092B-C50C-407E-A947-70E740481C1C}">
                          <a14:useLocalDpi xmlns:a14="http://schemas.microsoft.com/office/drawing/2010/main" val="0"/>
                        </a:ext>
                      </a:extLst>
                    </a:blip>
                    <a:stretch>
                      <a:fillRect/>
                    </a:stretch>
                  </pic:blipFill>
                  <pic:spPr>
                    <a:xfrm>
                      <a:off x="0" y="0"/>
                      <a:ext cx="1429967" cy="1713865"/>
                    </a:xfrm>
                    <a:prstGeom prst="rect">
                      <a:avLst/>
                    </a:prstGeom>
                  </pic:spPr>
                </pic:pic>
              </a:graphicData>
            </a:graphic>
            <wp14:sizeRelH relativeFrom="margin">
              <wp14:pctWidth>0</wp14:pctWidth>
            </wp14:sizeRelH>
            <wp14:sizeRelV relativeFrom="margin">
              <wp14:pctHeight>0</wp14:pctHeight>
            </wp14:sizeRelV>
          </wp:anchor>
        </w:drawing>
      </w:r>
      <w:r w:rsidR="0059568C" w:rsidRPr="0059568C">
        <w:rPr>
          <w:rFonts w:ascii="メイリオ" w:eastAsia="メイリオ" w:hAnsi="メイリオ" w:cs="メイリオ" w:hint="eastAsia"/>
          <w:color w:val="232323"/>
          <w:kern w:val="0"/>
          <w:sz w:val="19"/>
          <w:szCs w:val="19"/>
        </w:rPr>
        <w:t>◎対象工事：下請契約を締結するすべての公共工事</w:t>
      </w:r>
    </w:p>
    <w:p w:rsidR="0059568C" w:rsidRPr="0059568C" w:rsidRDefault="0059568C" w:rsidP="000232A4">
      <w:pPr>
        <w:widowControl/>
        <w:spacing w:before="150" w:line="0" w:lineRule="atLeast"/>
        <w:ind w:left="556" w:right="147"/>
        <w:jc w:val="left"/>
        <w:rPr>
          <w:rFonts w:ascii="メイリオ" w:eastAsia="メイリオ" w:hAnsi="メイリオ" w:cs="メイリオ"/>
          <w:color w:val="232323"/>
          <w:kern w:val="0"/>
          <w:sz w:val="19"/>
          <w:szCs w:val="19"/>
        </w:rPr>
      </w:pPr>
      <w:r w:rsidRPr="0059568C">
        <w:rPr>
          <w:rFonts w:ascii="メイリオ" w:eastAsia="メイリオ" w:hAnsi="メイリオ" w:cs="メイリオ" w:hint="eastAsia"/>
          <w:color w:val="232323"/>
          <w:kern w:val="0"/>
          <w:sz w:val="19"/>
          <w:szCs w:val="19"/>
        </w:rPr>
        <w:t>◎適用時期：平成２７年４月１日以降に元請契約を締結する工事から適用</w:t>
      </w:r>
    </w:p>
    <w:p w:rsidR="0059568C" w:rsidRPr="0059568C" w:rsidRDefault="0059568C" w:rsidP="0063007D">
      <w:pPr>
        <w:widowControl/>
        <w:spacing w:before="225" w:line="0" w:lineRule="atLeast"/>
        <w:ind w:right="760" w:firstLineChars="300" w:firstLine="570"/>
        <w:outlineLvl w:val="3"/>
        <w:rPr>
          <w:rFonts w:ascii="メイリオ" w:eastAsia="メイリオ" w:hAnsi="メイリオ" w:cs="メイリオ"/>
          <w:color w:val="232323"/>
          <w:kern w:val="0"/>
          <w:sz w:val="19"/>
          <w:szCs w:val="19"/>
        </w:rPr>
      </w:pPr>
      <w:r w:rsidRPr="0059568C">
        <w:rPr>
          <w:rFonts w:ascii="メイリオ" w:eastAsia="メイリオ" w:hAnsi="メイリオ" w:cs="メイリオ" w:hint="eastAsia"/>
          <w:color w:val="232323"/>
          <w:kern w:val="0"/>
          <w:sz w:val="19"/>
          <w:szCs w:val="19"/>
        </w:rPr>
        <w:t> </w:t>
      </w:r>
      <w:hyperlink r:id="rId6" w:history="1">
        <w:r w:rsidR="000232A4" w:rsidRPr="00464041">
          <w:rPr>
            <w:rStyle w:val="a5"/>
            <w:rFonts w:ascii="HG丸ｺﾞｼｯｸM-PRO" w:eastAsia="HG丸ｺﾞｼｯｸM-PRO" w:hAnsi="HG丸ｺﾞｼｯｸM-PRO" w:cs="メイリオ" w:hint="eastAsia"/>
            <w:kern w:val="0"/>
            <w:sz w:val="24"/>
            <w:szCs w:val="24"/>
          </w:rPr>
          <w:t>施工体制台帳および施工体系図について　参考例</w:t>
        </w:r>
      </w:hyperlink>
    </w:p>
    <w:p w:rsidR="0059568C" w:rsidRPr="0059568C" w:rsidRDefault="0059568C" w:rsidP="0063007D">
      <w:pPr>
        <w:widowControl/>
        <w:spacing w:before="225" w:line="0" w:lineRule="atLeast"/>
        <w:ind w:left="480"/>
        <w:jc w:val="left"/>
        <w:outlineLvl w:val="3"/>
        <w:rPr>
          <w:rFonts w:ascii="メイリオ" w:eastAsia="メイリオ" w:hAnsi="メイリオ" w:cs="メイリオ"/>
          <w:color w:val="54A800"/>
          <w:kern w:val="0"/>
          <w:sz w:val="24"/>
          <w:szCs w:val="24"/>
        </w:rPr>
      </w:pPr>
      <w:r w:rsidRPr="0059568C">
        <w:rPr>
          <w:rFonts w:ascii="メイリオ" w:eastAsia="メイリオ" w:hAnsi="メイリオ" w:cs="メイリオ" w:hint="eastAsia"/>
          <w:color w:val="54A800"/>
          <w:kern w:val="0"/>
          <w:sz w:val="24"/>
          <w:szCs w:val="24"/>
        </w:rPr>
        <w:t>【詳しくはこちらでご確認ください】</w:t>
      </w:r>
    </w:p>
    <w:p w:rsidR="0059568C" w:rsidRPr="0059568C" w:rsidRDefault="0059568C" w:rsidP="0063007D">
      <w:pPr>
        <w:widowControl/>
        <w:spacing w:before="150" w:line="0" w:lineRule="atLeast"/>
        <w:ind w:left="555" w:right="150"/>
        <w:jc w:val="left"/>
        <w:rPr>
          <w:rFonts w:ascii="メイリオ" w:eastAsia="メイリオ" w:hAnsi="メイリオ" w:cs="メイリオ"/>
          <w:color w:val="232323"/>
          <w:kern w:val="0"/>
          <w:sz w:val="19"/>
          <w:szCs w:val="19"/>
        </w:rPr>
      </w:pPr>
      <w:r w:rsidRPr="0059568C">
        <w:rPr>
          <w:rFonts w:ascii="メイリオ" w:eastAsia="メイリオ" w:hAnsi="メイリオ" w:cs="メイリオ" w:hint="eastAsia"/>
          <w:color w:val="232323"/>
          <w:kern w:val="0"/>
          <w:sz w:val="24"/>
          <w:szCs w:val="24"/>
        </w:rPr>
        <w:t> 国土交通省</w:t>
      </w:r>
      <w:hyperlink r:id="rId7" w:history="1">
        <w:r w:rsidRPr="0059568C">
          <w:rPr>
            <w:rFonts w:ascii="HG丸ｺﾞｼｯｸM-PRO" w:eastAsia="HG丸ｺﾞｼｯｸM-PRO" w:hAnsi="HG丸ｺﾞｼｯｸM-PRO" w:cs="メイリオ" w:hint="eastAsia"/>
            <w:color w:val="0000FF"/>
            <w:kern w:val="0"/>
            <w:sz w:val="24"/>
            <w:szCs w:val="24"/>
          </w:rPr>
          <w:t>http://www.mlit.go.jp/totikensangyo/const/totikensangyo_const_tk1_000089.html</w:t>
        </w:r>
      </w:hyperlink>
    </w:p>
    <w:p w:rsidR="0059568C" w:rsidRPr="0059568C" w:rsidRDefault="0059568C" w:rsidP="0063007D">
      <w:pPr>
        <w:widowControl/>
        <w:spacing w:line="0" w:lineRule="atLeast"/>
        <w:jc w:val="left"/>
        <w:rPr>
          <w:rFonts w:ascii="メイリオ" w:eastAsia="メイリオ" w:hAnsi="メイリオ" w:cs="メイリオ"/>
          <w:color w:val="313131"/>
          <w:kern w:val="0"/>
          <w:sz w:val="19"/>
          <w:szCs w:val="19"/>
        </w:rPr>
      </w:pPr>
    </w:p>
    <w:sectPr w:rsidR="0059568C" w:rsidRPr="0059568C" w:rsidSect="0063007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8C"/>
    <w:rsid w:val="000232A4"/>
    <w:rsid w:val="0043091C"/>
    <w:rsid w:val="00464041"/>
    <w:rsid w:val="0059568C"/>
    <w:rsid w:val="0063007D"/>
    <w:rsid w:val="009F30FB"/>
    <w:rsid w:val="00D95188"/>
    <w:rsid w:val="00DF0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90A1206-690F-4479-82F9-B2A92167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00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007D"/>
    <w:rPr>
      <w:rFonts w:asciiTheme="majorHAnsi" w:eastAsiaTheme="majorEastAsia" w:hAnsiTheme="majorHAnsi" w:cstheme="majorBidi"/>
      <w:sz w:val="18"/>
      <w:szCs w:val="18"/>
    </w:rPr>
  </w:style>
  <w:style w:type="character" w:styleId="a5">
    <w:name w:val="Hyperlink"/>
    <w:basedOn w:val="a0"/>
    <w:uiPriority w:val="99"/>
    <w:unhideWhenUsed/>
    <w:rsid w:val="00464041"/>
    <w:rPr>
      <w:color w:val="0563C1" w:themeColor="hyperlink"/>
      <w:u w:val="single"/>
    </w:rPr>
  </w:style>
  <w:style w:type="character" w:styleId="a6">
    <w:name w:val="FollowedHyperlink"/>
    <w:basedOn w:val="a0"/>
    <w:uiPriority w:val="99"/>
    <w:semiHidden/>
    <w:unhideWhenUsed/>
    <w:rsid w:val="004640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6715">
      <w:bodyDiv w:val="1"/>
      <w:marLeft w:val="0"/>
      <w:marRight w:val="0"/>
      <w:marTop w:val="0"/>
      <w:marBottom w:val="0"/>
      <w:divBdr>
        <w:top w:val="none" w:sz="0" w:space="0" w:color="auto"/>
        <w:left w:val="none" w:sz="0" w:space="0" w:color="auto"/>
        <w:bottom w:val="none" w:sz="0" w:space="0" w:color="auto"/>
        <w:right w:val="none" w:sz="0" w:space="0" w:color="auto"/>
      </w:divBdr>
      <w:divsChild>
        <w:div w:id="1276329155">
          <w:marLeft w:val="180"/>
          <w:marRight w:val="0"/>
          <w:marTop w:val="0"/>
          <w:marBottom w:val="0"/>
          <w:divBdr>
            <w:top w:val="none" w:sz="0" w:space="0" w:color="auto"/>
            <w:left w:val="none" w:sz="0" w:space="0" w:color="auto"/>
            <w:bottom w:val="none" w:sz="0" w:space="0" w:color="auto"/>
            <w:right w:val="none" w:sz="0" w:space="0" w:color="auto"/>
          </w:divBdr>
          <w:divsChild>
            <w:div w:id="2065713829">
              <w:marLeft w:val="0"/>
              <w:marRight w:val="0"/>
              <w:marTop w:val="0"/>
              <w:marBottom w:val="150"/>
              <w:divBdr>
                <w:top w:val="none" w:sz="0" w:space="0" w:color="auto"/>
                <w:left w:val="none" w:sz="0" w:space="0" w:color="auto"/>
                <w:bottom w:val="none" w:sz="0" w:space="0" w:color="auto"/>
                <w:right w:val="none" w:sz="0" w:space="0" w:color="auto"/>
              </w:divBdr>
              <w:divsChild>
                <w:div w:id="1122071076">
                  <w:marLeft w:val="0"/>
                  <w:marRight w:val="0"/>
                  <w:marTop w:val="0"/>
                  <w:marBottom w:val="0"/>
                  <w:divBdr>
                    <w:top w:val="none" w:sz="0" w:space="0" w:color="auto"/>
                    <w:left w:val="none" w:sz="0" w:space="0" w:color="auto"/>
                    <w:bottom w:val="none" w:sz="0" w:space="0" w:color="auto"/>
                    <w:right w:val="none" w:sz="0" w:space="0" w:color="auto"/>
                  </w:divBdr>
                  <w:divsChild>
                    <w:div w:id="77018868">
                      <w:marLeft w:val="0"/>
                      <w:marRight w:val="0"/>
                      <w:marTop w:val="0"/>
                      <w:marBottom w:val="0"/>
                      <w:divBdr>
                        <w:top w:val="none" w:sz="0" w:space="0" w:color="auto"/>
                        <w:left w:val="none" w:sz="0" w:space="0" w:color="auto"/>
                        <w:bottom w:val="none" w:sz="0" w:space="0" w:color="auto"/>
                        <w:right w:val="none" w:sz="0" w:space="0" w:color="auto"/>
                      </w:divBdr>
                      <w:divsChild>
                        <w:div w:id="1506507010">
                          <w:marLeft w:val="0"/>
                          <w:marRight w:val="0"/>
                          <w:marTop w:val="0"/>
                          <w:marBottom w:val="0"/>
                          <w:divBdr>
                            <w:top w:val="none" w:sz="0" w:space="0" w:color="auto"/>
                            <w:left w:val="none" w:sz="0" w:space="0" w:color="auto"/>
                            <w:bottom w:val="none" w:sz="0" w:space="0" w:color="auto"/>
                            <w:right w:val="none" w:sz="0" w:space="0" w:color="auto"/>
                          </w:divBdr>
                        </w:div>
                        <w:div w:id="1685522516">
                          <w:marLeft w:val="0"/>
                          <w:marRight w:val="0"/>
                          <w:marTop w:val="0"/>
                          <w:marBottom w:val="0"/>
                          <w:divBdr>
                            <w:top w:val="none" w:sz="0" w:space="0" w:color="auto"/>
                            <w:left w:val="none" w:sz="0" w:space="0" w:color="auto"/>
                            <w:bottom w:val="none" w:sz="0" w:space="0" w:color="auto"/>
                            <w:right w:val="none" w:sz="0" w:space="0" w:color="auto"/>
                          </w:divBdr>
                        </w:div>
                        <w:div w:id="376246727">
                          <w:marLeft w:val="0"/>
                          <w:marRight w:val="0"/>
                          <w:marTop w:val="0"/>
                          <w:marBottom w:val="0"/>
                          <w:divBdr>
                            <w:top w:val="none" w:sz="0" w:space="0" w:color="auto"/>
                            <w:left w:val="none" w:sz="0" w:space="0" w:color="auto"/>
                            <w:bottom w:val="none" w:sz="0" w:space="0" w:color="auto"/>
                            <w:right w:val="none" w:sz="0" w:space="0" w:color="auto"/>
                          </w:divBdr>
                        </w:div>
                        <w:div w:id="28575818">
                          <w:marLeft w:val="0"/>
                          <w:marRight w:val="0"/>
                          <w:marTop w:val="0"/>
                          <w:marBottom w:val="0"/>
                          <w:divBdr>
                            <w:top w:val="none" w:sz="0" w:space="0" w:color="auto"/>
                            <w:left w:val="none" w:sz="0" w:space="0" w:color="auto"/>
                            <w:bottom w:val="none" w:sz="0" w:space="0" w:color="auto"/>
                            <w:right w:val="none" w:sz="0" w:space="0" w:color="auto"/>
                          </w:divBdr>
                        </w:div>
                        <w:div w:id="1380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98223">
          <w:marLeft w:val="0"/>
          <w:marRight w:val="0"/>
          <w:marTop w:val="0"/>
          <w:marBottom w:val="0"/>
          <w:divBdr>
            <w:top w:val="none" w:sz="0" w:space="0" w:color="auto"/>
            <w:left w:val="none" w:sz="0" w:space="0" w:color="auto"/>
            <w:bottom w:val="none" w:sz="0" w:space="0" w:color="auto"/>
            <w:right w:val="none" w:sz="0" w:space="0" w:color="auto"/>
          </w:divBdr>
          <w:divsChild>
            <w:div w:id="2058553671">
              <w:marLeft w:val="0"/>
              <w:marRight w:val="0"/>
              <w:marTop w:val="0"/>
              <w:marBottom w:val="0"/>
              <w:divBdr>
                <w:top w:val="none" w:sz="0" w:space="0" w:color="auto"/>
                <w:left w:val="none" w:sz="0" w:space="0" w:color="auto"/>
                <w:bottom w:val="none" w:sz="0" w:space="0" w:color="auto"/>
                <w:right w:val="none" w:sz="0" w:space="0" w:color="auto"/>
              </w:divBdr>
              <w:divsChild>
                <w:div w:id="4707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lit.go.jp/totikensangyo/const/totikensangyo_const_tk1_00008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shimane.lg.jp/infra/kouji/kouji_info/shiyousho/kouji_yousiki.html" TargetMode="External"/><Relationship Id="rId5" Type="http://schemas.openxmlformats.org/officeDocument/2006/relationships/image" Target="media/image1.jpg"/><Relationship Id="rId4" Type="http://schemas.openxmlformats.org/officeDocument/2006/relationships/hyperlink" Target="file:///C:\Users\inet08\AppData\Local\Microsoft\Windows\Temporary%20Internet%20Files\Content.Outlook\5F49902U\&#24037;&#20107;&#36027;&#20869;&#35379;&#26360;&#65288;HP&#65289;.xls"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小畑　芳秋</dc:creator>
  <cp:keywords/>
  <dc:description/>
  <cp:lastModifiedBy>inet08</cp:lastModifiedBy>
  <cp:revision>2</cp:revision>
  <cp:lastPrinted>2015-03-24T01:50:00Z</cp:lastPrinted>
  <dcterms:created xsi:type="dcterms:W3CDTF">2015-03-27T00:11:00Z</dcterms:created>
  <dcterms:modified xsi:type="dcterms:W3CDTF">2015-03-27T00:11:00Z</dcterms:modified>
</cp:coreProperties>
</file>